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FC85C" w14:textId="2778C26D" w:rsidR="003971B9" w:rsidRPr="00B33E27" w:rsidRDefault="003971B9" w:rsidP="003971B9">
      <w:pPr>
        <w:pStyle w:val="CRCoverPage"/>
        <w:tabs>
          <w:tab w:val="right" w:pos="9747"/>
        </w:tabs>
        <w:spacing w:before="156" w:after="0"/>
        <w:jc w:val="both"/>
        <w:rPr>
          <w:rFonts w:eastAsia="宋体" w:cs="Arial"/>
          <w:b/>
          <w:i/>
          <w:noProof/>
          <w:sz w:val="24"/>
          <w:szCs w:val="24"/>
          <w:lang w:val="de-DE" w:eastAsia="zh-CN"/>
        </w:rPr>
      </w:pPr>
      <w:bookmarkStart w:id="0" w:name="OLE_LINK2"/>
      <w:r w:rsidRPr="00565DC5">
        <w:rPr>
          <w:rFonts w:cs="Arial"/>
          <w:b/>
          <w:noProof/>
          <w:sz w:val="24"/>
          <w:szCs w:val="24"/>
          <w:lang w:val="de-DE"/>
        </w:rPr>
        <w:t xml:space="preserve">3GPP TSG RAN WG1 </w:t>
      </w:r>
      <w:r>
        <w:rPr>
          <w:rFonts w:cs="Arial"/>
          <w:b/>
          <w:noProof/>
          <w:sz w:val="24"/>
          <w:szCs w:val="24"/>
          <w:lang w:val="de-DE"/>
        </w:rPr>
        <w:t xml:space="preserve">Ad-Hoc </w:t>
      </w:r>
      <w:r w:rsidRPr="00565DC5">
        <w:rPr>
          <w:rFonts w:cs="Arial"/>
          <w:b/>
          <w:noProof/>
          <w:sz w:val="24"/>
          <w:szCs w:val="24"/>
          <w:lang w:val="de-DE"/>
        </w:rPr>
        <w:t xml:space="preserve">Meeting </w:t>
      </w:r>
      <w:r>
        <w:rPr>
          <w:rFonts w:cs="Arial"/>
          <w:b/>
          <w:noProof/>
          <w:sz w:val="24"/>
          <w:szCs w:val="24"/>
          <w:lang w:val="de-DE"/>
        </w:rPr>
        <w:t>1901</w:t>
      </w:r>
      <w:r>
        <w:rPr>
          <w:rFonts w:eastAsia="宋体" w:cs="Arial"/>
          <w:b/>
          <w:noProof/>
          <w:sz w:val="24"/>
          <w:szCs w:val="24"/>
          <w:lang w:val="de-DE" w:eastAsia="zh-CN"/>
        </w:rPr>
        <w:tab/>
      </w:r>
      <w:r w:rsidR="00BF30C3" w:rsidRPr="00BF30C3">
        <w:rPr>
          <w:rFonts w:eastAsia="宋体" w:cs="Arial"/>
          <w:b/>
          <w:noProof/>
          <w:sz w:val="24"/>
          <w:szCs w:val="24"/>
          <w:lang w:val="de-DE" w:eastAsia="zh-CN"/>
        </w:rPr>
        <w:t>R1-1900246</w:t>
      </w:r>
    </w:p>
    <w:p w14:paraId="7A662FC2" w14:textId="056107A5" w:rsidR="003971B9" w:rsidRDefault="003971B9" w:rsidP="003971B9">
      <w:pPr>
        <w:pBdr>
          <w:bottom w:val="single" w:sz="12" w:space="1" w:color="auto"/>
        </w:pBdr>
        <w:tabs>
          <w:tab w:val="left" w:pos="1985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Taipei</w:t>
      </w:r>
      <w:r w:rsidRPr="004B21A3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 xml:space="preserve">, 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Taiwan</w:t>
      </w:r>
      <w:r w:rsidRPr="004B21A3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 xml:space="preserve">, 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21</w:t>
      </w:r>
      <w:r w:rsidRPr="00B13E33">
        <w:rPr>
          <w:rFonts w:ascii="Arial" w:eastAsia="MS Mincho" w:hAnsi="Arial" w:cs="Arial"/>
          <w:b/>
          <w:noProof/>
          <w:kern w:val="0"/>
          <w:sz w:val="24"/>
          <w:szCs w:val="24"/>
          <w:vertAlign w:val="superscript"/>
          <w:lang w:val="de-DE" w:eastAsia="en-US"/>
        </w:rPr>
        <w:t>st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vertAlign w:val="superscript"/>
          <w:lang w:val="de-DE" w:eastAsia="en-US"/>
        </w:rPr>
        <w:t xml:space="preserve"> </w:t>
      </w:r>
      <w:r w:rsidRPr="004B21A3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 xml:space="preserve">– 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25</w:t>
      </w:r>
      <w:r w:rsidRPr="00B13E33">
        <w:rPr>
          <w:rFonts w:ascii="Arial" w:eastAsia="MS Mincho" w:hAnsi="Arial" w:cs="Arial"/>
          <w:b/>
          <w:noProof/>
          <w:kern w:val="0"/>
          <w:sz w:val="24"/>
          <w:szCs w:val="24"/>
          <w:vertAlign w:val="superscript"/>
          <w:lang w:val="de-DE" w:eastAsia="en-US"/>
        </w:rPr>
        <w:t>th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 xml:space="preserve"> January</w:t>
      </w:r>
      <w:r w:rsidRPr="004B21A3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, 201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9</w:t>
      </w:r>
    </w:p>
    <w:p w14:paraId="3D432A7A" w14:textId="77777777" w:rsidR="003971B9" w:rsidRPr="003E6B83" w:rsidRDefault="003971B9" w:rsidP="003971B9">
      <w:pPr>
        <w:pStyle w:val="a3"/>
        <w:pBdr>
          <w:bottom w:val="single" w:sz="12" w:space="1" w:color="auto"/>
        </w:pBdr>
        <w:spacing w:before="120"/>
        <w:rPr>
          <w:rFonts w:ascii="Arial"/>
          <w:b/>
          <w:bCs/>
          <w:sz w:val="26"/>
          <w:lang w:eastAsia="ja-JP"/>
        </w:rPr>
      </w:pPr>
    </w:p>
    <w:p w14:paraId="54C14DAE" w14:textId="266B8398" w:rsidR="003971B9" w:rsidRPr="003971B9" w:rsidRDefault="003971B9" w:rsidP="003971B9">
      <w:pPr>
        <w:pBdr>
          <w:bottom w:val="single" w:sz="12" w:space="1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</w:rPr>
      </w:pPr>
      <w:r w:rsidRPr="003971B9">
        <w:rPr>
          <w:rFonts w:ascii="Arial" w:hAnsi="Arial" w:cs="Arial"/>
          <w:b/>
        </w:rPr>
        <w:t xml:space="preserve">Agenda item: </w:t>
      </w:r>
      <w:bookmarkStart w:id="1" w:name="OLE_LINK6"/>
      <w:bookmarkStart w:id="2" w:name="OLE_LINK14"/>
      <w:r w:rsidRPr="003971B9">
        <w:rPr>
          <w:rFonts w:ascii="Arial" w:hAnsi="Arial" w:cs="Arial"/>
          <w:b/>
        </w:rPr>
        <w:tab/>
      </w:r>
      <w:bookmarkEnd w:id="1"/>
      <w:bookmarkEnd w:id="2"/>
      <w:r w:rsidR="00BF30C3" w:rsidRPr="00BF30C3">
        <w:rPr>
          <w:rFonts w:ascii="Arial" w:hAnsi="Arial" w:cs="Arial"/>
          <w:b/>
        </w:rPr>
        <w:t>7.2.2.2.5</w:t>
      </w:r>
    </w:p>
    <w:p w14:paraId="16CDF15E" w14:textId="29113B15" w:rsidR="003971B9" w:rsidRPr="003971B9" w:rsidRDefault="003971B9" w:rsidP="003971B9">
      <w:pPr>
        <w:pBdr>
          <w:bottom w:val="single" w:sz="12" w:space="1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</w:rPr>
      </w:pPr>
      <w:r w:rsidRPr="003971B9">
        <w:rPr>
          <w:rFonts w:ascii="Arial" w:hAnsi="Arial" w:cs="Arial"/>
          <w:b/>
        </w:rPr>
        <w:t>Source:</w:t>
      </w:r>
      <w:r w:rsidRPr="003971B9">
        <w:rPr>
          <w:rFonts w:ascii="Arial" w:hAnsi="Arial" w:cs="Arial"/>
          <w:b/>
        </w:rPr>
        <w:tab/>
        <w:t>Fujitsu</w:t>
      </w:r>
    </w:p>
    <w:p w14:paraId="75B15EDD" w14:textId="6842C03E" w:rsidR="003971B9" w:rsidRPr="003971B9" w:rsidRDefault="003971B9" w:rsidP="003971B9">
      <w:pPr>
        <w:pBdr>
          <w:bottom w:val="single" w:sz="12" w:space="1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</w:rPr>
      </w:pPr>
      <w:r w:rsidRPr="003971B9">
        <w:rPr>
          <w:rFonts w:ascii="Arial" w:hAnsi="Arial" w:cs="Arial"/>
          <w:b/>
        </w:rPr>
        <w:t xml:space="preserve">Title: </w:t>
      </w:r>
      <w:r w:rsidR="00855042">
        <w:rPr>
          <w:rFonts w:ascii="Arial" w:hAnsi="Arial" w:cs="Arial"/>
          <w:b/>
        </w:rPr>
        <w:tab/>
      </w:r>
      <w:r w:rsidR="00BF30C3" w:rsidRPr="00BF30C3">
        <w:rPr>
          <w:rFonts w:ascii="Arial" w:hAnsi="Arial" w:cs="Arial"/>
          <w:b/>
        </w:rPr>
        <w:t>On wideband operation for NR-U</w:t>
      </w:r>
    </w:p>
    <w:p w14:paraId="30913B92" w14:textId="71265CF2" w:rsidR="003971B9" w:rsidRPr="003971B9" w:rsidRDefault="003971B9" w:rsidP="003971B9">
      <w:pPr>
        <w:pBdr>
          <w:bottom w:val="single" w:sz="12" w:space="1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</w:rPr>
      </w:pPr>
      <w:r w:rsidRPr="003971B9">
        <w:rPr>
          <w:rFonts w:ascii="Arial" w:hAnsi="Arial" w:cs="Arial"/>
          <w:b/>
        </w:rPr>
        <w:t>Document for:</w:t>
      </w:r>
      <w:r w:rsidR="00855042">
        <w:rPr>
          <w:rFonts w:ascii="Arial" w:hAnsi="Arial" w:cs="Arial"/>
          <w:b/>
        </w:rPr>
        <w:tab/>
      </w:r>
      <w:r w:rsidRPr="003971B9">
        <w:rPr>
          <w:rFonts w:ascii="Arial" w:hAnsi="Arial" w:cs="Arial"/>
          <w:b/>
        </w:rPr>
        <w:t>Discussion</w:t>
      </w:r>
      <w:r w:rsidRPr="003971B9">
        <w:rPr>
          <w:rFonts w:ascii="Arial" w:hAnsi="Arial" w:cs="Arial" w:hint="eastAsia"/>
          <w:b/>
        </w:rPr>
        <w:t xml:space="preserve"> and Decision</w:t>
      </w:r>
    </w:p>
    <w:p w14:paraId="4EA73079" w14:textId="57020C84" w:rsidR="003971B9" w:rsidRPr="004106CA" w:rsidRDefault="003971B9" w:rsidP="004106CA">
      <w:pPr>
        <w:pStyle w:val="LGTdoc1"/>
        <w:numPr>
          <w:ilvl w:val="0"/>
          <w:numId w:val="27"/>
        </w:numPr>
        <w:spacing w:beforeLines="0" w:before="100" w:beforeAutospacing="1"/>
        <w:outlineLvl w:val="0"/>
        <w:rPr>
          <w:snapToGrid w:val="0"/>
          <w:szCs w:val="22"/>
          <w:lang w:val="en-US"/>
        </w:rPr>
      </w:pPr>
      <w:r w:rsidRPr="004106CA">
        <w:rPr>
          <w:snapToGrid w:val="0"/>
          <w:szCs w:val="22"/>
          <w:lang w:val="en-US"/>
        </w:rPr>
        <w:t>Introduction</w:t>
      </w:r>
    </w:p>
    <w:p w14:paraId="7EFB6307" w14:textId="4170A291" w:rsidR="003971B9" w:rsidRDefault="003971B9" w:rsidP="003971B9">
      <w:pPr>
        <w:pStyle w:val="LGTdoc1"/>
        <w:spacing w:beforeLines="0" w:before="240" w:after="12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>This contribution is revised from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[1]. </w:t>
      </w: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 xml:space="preserve">Regarding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the </w:t>
      </w:r>
      <w:r w:rsidR="00FC1BB5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wide-band operation</w:t>
      </w: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 xml:space="preserve"> for NR-U, the following agreements were achieved in previous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RAN1 </w:t>
      </w: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>meetings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[2-</w:t>
      </w:r>
      <w:r w:rsidR="00FC1BB5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3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]</w:t>
      </w: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>.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I</w:t>
      </w:r>
      <w:r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 xml:space="preserve">n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this contribution, we would like to discuss the </w:t>
      </w:r>
      <w:r w:rsidR="00FC1BB5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wideband operation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for the case of single carrier with integer multiples of 20 MHz.</w:t>
      </w:r>
    </w:p>
    <w:p w14:paraId="4D7F2A10" w14:textId="77777777" w:rsidR="003971B9" w:rsidRPr="00F34F38" w:rsidRDefault="003971B9" w:rsidP="003971B9">
      <w:pPr>
        <w:widowControl/>
        <w:spacing w:before="240"/>
        <w:ind w:leftChars="200" w:left="1140" w:hanging="720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highlight w:val="green"/>
          <w:lang w:val="en-GB" w:eastAsia="x-none"/>
        </w:rPr>
        <w:t>Agreement:</w:t>
      </w:r>
      <w:r w:rsidRPr="00F34F38">
        <w:rPr>
          <w:rFonts w:ascii="Times" w:eastAsia="Batang" w:hAnsi="Times" w:cs="Times New Roman"/>
          <w:kern w:val="0"/>
          <w:lang w:val="en-GB" w:eastAsia="x-none"/>
        </w:rPr>
        <w:t xml:space="preserve"> </w:t>
      </w:r>
    </w:p>
    <w:p w14:paraId="227D8015" w14:textId="77777777" w:rsidR="003971B9" w:rsidRPr="00F34F38" w:rsidRDefault="003971B9" w:rsidP="003971B9">
      <w:pPr>
        <w:widowControl/>
        <w:ind w:leftChars="200" w:left="420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lang w:val="en-GB" w:eastAsia="x-none"/>
        </w:rPr>
        <w:t>In addition to aspects considered in LTE LAA, CWS adjustment procedure in NR-U may additionally consider at least the following aspects:</w:t>
      </w:r>
    </w:p>
    <w:p w14:paraId="43A7580E" w14:textId="77777777" w:rsidR="003971B9" w:rsidRPr="00F34F38" w:rsidRDefault="003971B9" w:rsidP="003971B9">
      <w:pPr>
        <w:widowControl/>
        <w:numPr>
          <w:ilvl w:val="0"/>
          <w:numId w:val="3"/>
        </w:numPr>
        <w:ind w:leftChars="380" w:left="1158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lang w:val="en-GB" w:eastAsia="x-none"/>
        </w:rPr>
        <w:t>CBG based HARQ-ACK operation,</w:t>
      </w:r>
    </w:p>
    <w:p w14:paraId="05E9F44B" w14:textId="77777777" w:rsidR="003971B9" w:rsidRPr="00F34F38" w:rsidRDefault="003971B9" w:rsidP="003971B9">
      <w:pPr>
        <w:widowControl/>
        <w:numPr>
          <w:ilvl w:val="0"/>
          <w:numId w:val="3"/>
        </w:numPr>
        <w:ind w:leftChars="380" w:left="1158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lang w:val="en-GB" w:eastAsia="x-none"/>
        </w:rPr>
        <w:t>NR scheduling and HARQ-feedback delays and processing times</w:t>
      </w:r>
    </w:p>
    <w:p w14:paraId="7B4DA79A" w14:textId="77777777" w:rsidR="003971B9" w:rsidRPr="00F34F38" w:rsidRDefault="003971B9" w:rsidP="003971B9">
      <w:pPr>
        <w:widowControl/>
        <w:numPr>
          <w:ilvl w:val="0"/>
          <w:numId w:val="3"/>
        </w:numPr>
        <w:ind w:leftChars="380" w:left="1158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lang w:val="en-GB" w:eastAsia="x-none"/>
        </w:rPr>
        <w:t>wideband (&gt;20 MHz) operation including BWPs</w:t>
      </w:r>
    </w:p>
    <w:p w14:paraId="6D23AE49" w14:textId="77777777" w:rsidR="003971B9" w:rsidRPr="00F34F38" w:rsidRDefault="003971B9" w:rsidP="003971B9">
      <w:pPr>
        <w:widowControl/>
        <w:numPr>
          <w:ilvl w:val="0"/>
          <w:numId w:val="3"/>
        </w:numPr>
        <w:ind w:leftChars="380" w:left="1158"/>
        <w:jc w:val="left"/>
        <w:rPr>
          <w:rFonts w:ascii="Times" w:eastAsia="Batang" w:hAnsi="Times" w:cs="Times New Roman"/>
          <w:kern w:val="0"/>
          <w:lang w:val="en-GB" w:eastAsia="x-none"/>
        </w:rPr>
      </w:pPr>
      <w:r w:rsidRPr="00F34F38">
        <w:rPr>
          <w:rFonts w:ascii="Times" w:eastAsia="Batang" w:hAnsi="Times" w:cs="Times New Roman"/>
          <w:kern w:val="0"/>
          <w:lang w:val="en-GB" w:eastAsia="x-none"/>
        </w:rPr>
        <w:t>Configured grant operation</w:t>
      </w:r>
    </w:p>
    <w:p w14:paraId="5A815E20" w14:textId="77777777" w:rsidR="003971B9" w:rsidRPr="007A5D1A" w:rsidRDefault="003971B9" w:rsidP="003971B9">
      <w:pPr>
        <w:ind w:leftChars="200" w:left="420"/>
        <w:rPr>
          <w:rFonts w:ascii="Times New Roman" w:eastAsia="宋体" w:hAnsi="Times New Roman" w:cs="Times New Roman"/>
          <w:lang w:eastAsia="x-none"/>
        </w:rPr>
      </w:pPr>
      <w:r w:rsidRPr="007A5D1A">
        <w:rPr>
          <w:rFonts w:ascii="Times New Roman" w:eastAsia="宋体" w:hAnsi="Times New Roman" w:cs="Times New Roman"/>
          <w:highlight w:val="green"/>
          <w:lang w:eastAsia="x-none"/>
        </w:rPr>
        <w:t>Agreement:</w:t>
      </w:r>
    </w:p>
    <w:p w14:paraId="3004DD60" w14:textId="77777777" w:rsidR="003971B9" w:rsidRPr="000F6996" w:rsidRDefault="003971B9" w:rsidP="003971B9">
      <w:pPr>
        <w:widowControl/>
        <w:numPr>
          <w:ilvl w:val="0"/>
          <w:numId w:val="11"/>
        </w:numPr>
        <w:ind w:leftChars="380" w:left="1158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NR-U should support that a serving cell can be configured with bandwidth larger than 20 MHz.</w:t>
      </w:r>
    </w:p>
    <w:p w14:paraId="45AD66FE" w14:textId="77777777" w:rsidR="003971B9" w:rsidRPr="000F6996" w:rsidRDefault="003971B9" w:rsidP="003971B9">
      <w:pPr>
        <w:widowControl/>
        <w:numPr>
          <w:ilvl w:val="1"/>
          <w:numId w:val="11"/>
        </w:numPr>
        <w:ind w:leftChars="740" w:left="1914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For DL operation, the following options for BWP-based operation within a carrier with bandwidth larger than 20 MHz can be considered.</w:t>
      </w:r>
    </w:p>
    <w:p w14:paraId="2855042D" w14:textId="77777777" w:rsidR="003971B9" w:rsidRPr="000F6996" w:rsidRDefault="003971B9" w:rsidP="003971B9">
      <w:pPr>
        <w:widowControl/>
        <w:numPr>
          <w:ilvl w:val="2"/>
          <w:numId w:val="11"/>
        </w:numPr>
        <w:ind w:leftChars="1100" w:left="2670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Option 1a: Multiple BWPs configured, multiple BWPs activated, transmission of PDSCH on one or more BWPs</w:t>
      </w:r>
    </w:p>
    <w:p w14:paraId="608E0D62" w14:textId="77777777" w:rsidR="003971B9" w:rsidRPr="000F6996" w:rsidRDefault="003971B9" w:rsidP="003971B9">
      <w:pPr>
        <w:widowControl/>
        <w:numPr>
          <w:ilvl w:val="2"/>
          <w:numId w:val="11"/>
        </w:numPr>
        <w:ind w:leftChars="1100" w:left="2670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Option 1b: Multiple BWPs configured, multiple BWPs activated, transmission of PDSCH on single BWP</w:t>
      </w:r>
    </w:p>
    <w:p w14:paraId="44A45D0A" w14:textId="77777777" w:rsidR="003971B9" w:rsidRPr="000F6996" w:rsidRDefault="003971B9" w:rsidP="003971B9">
      <w:pPr>
        <w:widowControl/>
        <w:numPr>
          <w:ilvl w:val="2"/>
          <w:numId w:val="11"/>
        </w:numPr>
        <w:ind w:leftChars="1100" w:left="2670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Option 2: Multiple BWPs can be configured, single BWP activated, gNB transmits PDSCH on a single BWP if CCA is successful at gNB for the whole BWP</w:t>
      </w:r>
    </w:p>
    <w:p w14:paraId="70922CCF" w14:textId="77777777" w:rsidR="003971B9" w:rsidRPr="000F6996" w:rsidRDefault="003971B9" w:rsidP="003971B9">
      <w:pPr>
        <w:widowControl/>
        <w:numPr>
          <w:ilvl w:val="2"/>
          <w:numId w:val="11"/>
        </w:numPr>
        <w:ind w:leftChars="1100" w:left="2670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Option 3: Multiple BWPs can be configured, single BWP activated, gNB transmits PDSCH on parts or whole of single BWP where CCA is successful at gNB</w:t>
      </w:r>
    </w:p>
    <w:p w14:paraId="32CDFBC8" w14:textId="77777777" w:rsidR="003971B9" w:rsidRPr="000F6996" w:rsidRDefault="003971B9" w:rsidP="003971B9">
      <w:pPr>
        <w:widowControl/>
        <w:numPr>
          <w:ilvl w:val="1"/>
          <w:numId w:val="11"/>
        </w:numPr>
        <w:ind w:leftChars="740" w:left="1914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Note: CCA is declared to be successful or not in multiples of 20 MHz.</w:t>
      </w:r>
    </w:p>
    <w:p w14:paraId="234107CB" w14:textId="77777777" w:rsidR="003971B9" w:rsidRPr="000F6996" w:rsidRDefault="003971B9" w:rsidP="003971B9">
      <w:pPr>
        <w:widowControl/>
        <w:numPr>
          <w:ilvl w:val="1"/>
          <w:numId w:val="11"/>
        </w:numPr>
        <w:ind w:leftChars="740" w:left="1914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FFS for UL operation including some or all of above options can be applied</w:t>
      </w:r>
    </w:p>
    <w:p w14:paraId="10D4ABF3" w14:textId="0F5B4AFF" w:rsidR="00BF30C3" w:rsidRDefault="003971B9" w:rsidP="003971B9">
      <w:pPr>
        <w:widowControl/>
        <w:numPr>
          <w:ilvl w:val="0"/>
          <w:numId w:val="11"/>
        </w:numPr>
        <w:ind w:leftChars="380" w:left="1158"/>
        <w:jc w:val="left"/>
        <w:rPr>
          <w:rFonts w:ascii="Times New Roman" w:eastAsia="宋体" w:hAnsi="Times New Roman" w:cs="Times New Roman"/>
          <w:lang w:eastAsia="x-none"/>
        </w:rPr>
      </w:pPr>
      <w:r w:rsidRPr="000F6996">
        <w:rPr>
          <w:rFonts w:ascii="Times New Roman" w:eastAsia="宋体" w:hAnsi="Times New Roman" w:cs="Times New Roman"/>
          <w:lang w:eastAsia="x-none"/>
        </w:rPr>
        <w:t>Note: Capture the following in TR only after further discussion for down-selecting from the options in RAN1#95.</w:t>
      </w:r>
    </w:p>
    <w:p w14:paraId="3C58E510" w14:textId="77777777" w:rsidR="00BF30C3" w:rsidRDefault="00BF30C3">
      <w:pPr>
        <w:widowControl/>
        <w:jc w:val="left"/>
        <w:rPr>
          <w:rFonts w:ascii="Times New Roman" w:eastAsia="宋体" w:hAnsi="Times New Roman" w:cs="Times New Roman"/>
          <w:lang w:eastAsia="x-none"/>
        </w:rPr>
      </w:pPr>
      <w:r>
        <w:rPr>
          <w:rFonts w:ascii="Times New Roman" w:eastAsia="宋体" w:hAnsi="Times New Roman" w:cs="Times New Roman"/>
          <w:lang w:eastAsia="x-none"/>
        </w:rPr>
        <w:br w:type="page"/>
      </w:r>
    </w:p>
    <w:p w14:paraId="1454CC1E" w14:textId="77777777" w:rsidR="003971B9" w:rsidRDefault="003971B9" w:rsidP="004106CA">
      <w:pPr>
        <w:pStyle w:val="LGTdoc1"/>
        <w:numPr>
          <w:ilvl w:val="0"/>
          <w:numId w:val="27"/>
        </w:numPr>
        <w:spacing w:beforeLines="0" w:before="100" w:beforeAutospacing="1"/>
        <w:outlineLvl w:val="0"/>
        <w:rPr>
          <w:snapToGrid w:val="0"/>
          <w:szCs w:val="22"/>
          <w:lang w:val="en-US"/>
        </w:rPr>
      </w:pPr>
      <w:r w:rsidRPr="004106CA">
        <w:rPr>
          <w:snapToGrid w:val="0"/>
          <w:szCs w:val="22"/>
          <w:lang w:val="en-US"/>
        </w:rPr>
        <w:lastRenderedPageBreak/>
        <w:t>Discussion</w:t>
      </w:r>
    </w:p>
    <w:p w14:paraId="6F095684" w14:textId="6BC68F1A" w:rsidR="00841F61" w:rsidRDefault="002424CD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C</w:t>
      </w:r>
      <w:r w:rsidR="00841F61" w:rsidRPr="00F5645D">
        <w:rPr>
          <w:rFonts w:ascii="Times New Roman" w:eastAsia="宋体" w:hAnsi="Times New Roman" w:cs="Times New Roman" w:hint="eastAsia"/>
          <w:b w:val="0"/>
          <w:i/>
          <w:sz w:val="22"/>
          <w:szCs w:val="22"/>
          <w:u w:val="single"/>
          <w:lang w:val="en-US" w:eastAsia="zh-CN"/>
        </w:rPr>
        <w:t xml:space="preserve">hannel </w:t>
      </w:r>
      <w:r w:rsidR="00841F61"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access for a wideband carrier</w:t>
      </w:r>
    </w:p>
    <w:p w14:paraId="4B5A207F" w14:textId="77777777" w:rsidR="00BF30C3" w:rsidRDefault="00BF30C3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</w:p>
    <w:p w14:paraId="6332150D" w14:textId="77777777" w:rsidR="00BF30C3" w:rsidRDefault="00BF30C3" w:rsidP="00BF30C3">
      <w:pPr>
        <w:pStyle w:val="LGTdoc1"/>
        <w:spacing w:before="156" w:after="0" w:afterAutospacing="0"/>
        <w:ind w:left="420"/>
        <w:jc w:val="center"/>
      </w:pPr>
      <w:r>
        <w:object w:dxaOrig="6813" w:dyaOrig="2430" w14:anchorId="080C8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5pt;height:105.1pt" o:ole="">
            <v:imagedata r:id="rId7" o:title=""/>
          </v:shape>
          <o:OLEObject Type="Embed" ProgID="Visio.Drawing.11" ShapeID="_x0000_i1025" DrawAspect="Content" ObjectID="_1608725169" r:id="rId8"/>
        </w:object>
      </w:r>
    </w:p>
    <w:p w14:paraId="135E6E04" w14:textId="77777777" w:rsidR="00BF30C3" w:rsidRPr="00016D90" w:rsidRDefault="00BF30C3" w:rsidP="00BF30C3">
      <w:pPr>
        <w:pStyle w:val="LGTdoc1"/>
        <w:spacing w:before="156" w:after="0" w:afterAutospacing="0"/>
        <w:jc w:val="center"/>
        <w:rPr>
          <w:rFonts w:eastAsia="Malgun Gothic"/>
          <w:b w:val="0"/>
          <w:sz w:val="18"/>
        </w:rPr>
      </w:pPr>
      <w:r w:rsidRPr="009F5E2B">
        <w:rPr>
          <w:b w:val="0"/>
          <w:sz w:val="20"/>
        </w:rPr>
        <w:t xml:space="preserve">Figure </w:t>
      </w:r>
      <w:r>
        <w:rPr>
          <w:b w:val="0"/>
          <w:sz w:val="20"/>
        </w:rPr>
        <w:t>1</w:t>
      </w:r>
      <w:r w:rsidRPr="009F5E2B">
        <w:rPr>
          <w:b w:val="0"/>
          <w:sz w:val="20"/>
        </w:rPr>
        <w:t>. Example of multiple LBT sub-bands in a</w:t>
      </w:r>
      <w:r>
        <w:rPr>
          <w:b w:val="0"/>
          <w:sz w:val="20"/>
        </w:rPr>
        <w:t>n NR-U wideband</w:t>
      </w:r>
      <w:r w:rsidRPr="009F5E2B">
        <w:rPr>
          <w:b w:val="0"/>
          <w:sz w:val="20"/>
        </w:rPr>
        <w:t xml:space="preserve"> carrier</w:t>
      </w:r>
    </w:p>
    <w:p w14:paraId="30ECD0A1" w14:textId="77777777" w:rsidR="00BF30C3" w:rsidRPr="00BF30C3" w:rsidRDefault="00BF30C3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eastAsia="zh-CN"/>
        </w:rPr>
      </w:pPr>
    </w:p>
    <w:p w14:paraId="14274B61" w14:textId="5A62C268" w:rsidR="003971B9" w:rsidRDefault="00FC1BB5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I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n LTE-LAA, wideband (bandwidth greater than 20 MHz) operation is supported by carrier aggregation, and the bandwidth of each component carrier is </w:t>
      </w:r>
      <w:r w:rsidR="009342DE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not wider than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20 MHz. There are two types of channel access in such a multi-carrier case</w:t>
      </w:r>
      <w:r w:rsidR="009342DE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as in the Appendix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.</w:t>
      </w:r>
    </w:p>
    <w:p w14:paraId="47A0A69C" w14:textId="4D73CFB2" w:rsidR="003971B9" w:rsidRDefault="00A42A86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For an NR-U wideband carrier, i.e.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 carrier 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with integer multiples of 20 MHz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, t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he framework of m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ulti-carrier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channel access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in LTE-LAA can be reused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, which req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uires the less standardization work.</w:t>
      </w:r>
      <w:r w:rsidR="003971B9"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 xml:space="preserve">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As shown in Figure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1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, a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carrier includes m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ultiple 20-MHz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LBT sub-bands,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and a LBT sub-band plays a similar role as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a carrier in</w:t>
      </w:r>
      <w:r w:rsidR="003971B9" w:rsidRPr="00D532F1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LTE-LAA multi-carrier</w:t>
      </w:r>
      <w:r w:rsidR="00AB3ED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channel access</w:t>
      </w:r>
      <w:r w:rsidR="003971B9" w:rsidRPr="007E259D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.</w:t>
      </w:r>
    </w:p>
    <w:p w14:paraId="748FB9C9" w14:textId="1A003A6E" w:rsidR="003971B9" w:rsidRDefault="003971B9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1</w:t>
      </w:r>
      <w:r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 xml:space="preserve">: </w:t>
      </w:r>
      <w:r w:rsidRPr="007E259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For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n NR-U wideband carrier</w:t>
      </w:r>
      <w:r w:rsidRPr="007E259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,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NR-U needs to </w:t>
      </w:r>
      <w:r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>s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upport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the 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sub-band LB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T based on the framework of LTE-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LAA multi-carrier 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channel access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for </w:t>
      </w:r>
      <w:r w:rsidRPr="00492403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less standardization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work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41016F68" w14:textId="15CE5452" w:rsidR="009E1052" w:rsidRDefault="009E1052" w:rsidP="003971B9">
      <w:pPr>
        <w:pStyle w:val="LGTdoc1"/>
        <w:numPr>
          <w:ilvl w:val="0"/>
          <w:numId w:val="22"/>
        </w:numPr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Treat an L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BT sub-band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as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n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LTE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-LAA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carrier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,</w:t>
      </w:r>
      <w:r w:rsidR="00AB3ED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and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treat 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the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NR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-U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wideband carrier 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as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an aggregation of LTE</w:t>
      </w:r>
      <w:r w:rsidR="00A42A86">
        <w:rPr>
          <w:rFonts w:ascii="Times New Roman" w:eastAsia="宋体" w:hAnsi="Times New Roman" w:cs="Times New Roman"/>
          <w:sz w:val="22"/>
          <w:szCs w:val="22"/>
          <w:lang w:val="en-US" w:eastAsia="zh-CN"/>
        </w:rPr>
        <w:t>-LAA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carriers</w:t>
      </w:r>
      <w:r w:rsidR="008E6713"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3118A283" w14:textId="11EDDCA7" w:rsidR="00A42A86" w:rsidRDefault="00A42A86" w:rsidP="003971B9">
      <w:pPr>
        <w:pStyle w:val="LGTdoc1"/>
        <w:numPr>
          <w:ilvl w:val="0"/>
          <w:numId w:val="22"/>
        </w:numPr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Support both Type A and Type B</w:t>
      </w:r>
      <w:r w:rsidR="008E6713"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774DEAA5" w14:textId="77777777" w:rsidR="00AB3ED9" w:rsidRDefault="00AB3ED9" w:rsidP="008E6713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</w:p>
    <w:p w14:paraId="3154B662" w14:textId="589268FD" w:rsidR="00841F61" w:rsidRPr="00F5645D" w:rsidRDefault="00841F61" w:rsidP="00A42A86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BWP-based operation on a wideband carrier</w:t>
      </w:r>
    </w:p>
    <w:p w14:paraId="06934E38" w14:textId="77777777" w:rsidR="003971B9" w:rsidRPr="000F6996" w:rsidRDefault="003971B9" w:rsidP="003971B9">
      <w:pPr>
        <w:pStyle w:val="LGTdoc1"/>
        <w:spacing w:before="156" w:after="24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I</w:t>
      </w:r>
      <w:r w:rsidRPr="000F6996">
        <w:rPr>
          <w:rFonts w:ascii="Times New Roman" w:eastAsia="宋体" w:hAnsi="Times New Roman" w:cs="Times New Roman" w:hint="eastAsia"/>
          <w:b w:val="0"/>
          <w:sz w:val="22"/>
          <w:szCs w:val="22"/>
          <w:lang w:val="en-US" w:eastAsia="zh-CN"/>
        </w:rPr>
        <w:t xml:space="preserve">f </w:t>
      </w:r>
      <w:r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 carrier includes multiple LBT sub-bands, each LBT sub-band may or may not be available for data transmission after LBT. Considering the BWP-based operation in such case, the following 4 options for DL operation was given in RAN1#94b meeting to be considered. </w:t>
      </w:r>
    </w:p>
    <w:p w14:paraId="5C2C8053" w14:textId="77777777" w:rsidR="003971B9" w:rsidRPr="000F6996" w:rsidRDefault="003971B9" w:rsidP="003971B9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snapToGrid w:val="0"/>
          <w:kern w:val="0"/>
          <w:sz w:val="22"/>
        </w:rPr>
      </w:pPr>
      <w:r w:rsidRPr="000F6996">
        <w:rPr>
          <w:rFonts w:ascii="Times New Roman" w:eastAsia="宋体" w:hAnsi="Times New Roman" w:cs="Times New Roman"/>
          <w:snapToGrid w:val="0"/>
          <w:kern w:val="0"/>
          <w:sz w:val="22"/>
        </w:rPr>
        <w:t>Option 1a: Multiple BWPs configured, multiple BWPs activated, transmission of PDSCH on one or more BWPs</w:t>
      </w:r>
    </w:p>
    <w:p w14:paraId="3243E305" w14:textId="77777777" w:rsidR="003971B9" w:rsidRPr="000F6996" w:rsidRDefault="003971B9" w:rsidP="003971B9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snapToGrid w:val="0"/>
          <w:kern w:val="0"/>
          <w:sz w:val="22"/>
        </w:rPr>
      </w:pPr>
      <w:r w:rsidRPr="000F6996">
        <w:rPr>
          <w:rFonts w:ascii="Times New Roman" w:eastAsia="宋体" w:hAnsi="Times New Roman" w:cs="Times New Roman"/>
          <w:snapToGrid w:val="0"/>
          <w:kern w:val="0"/>
          <w:sz w:val="22"/>
        </w:rPr>
        <w:t>Option 1b: Multiple BWPs configured, multiple BWPs activated, transmission of PDSCH on single BWP</w:t>
      </w:r>
    </w:p>
    <w:p w14:paraId="7168FBBF" w14:textId="38D2B92F" w:rsidR="003971B9" w:rsidRPr="000F6996" w:rsidRDefault="003971B9" w:rsidP="003971B9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snapToGrid w:val="0"/>
          <w:kern w:val="0"/>
          <w:sz w:val="22"/>
        </w:rPr>
      </w:pPr>
      <w:r w:rsidRPr="000F6996">
        <w:rPr>
          <w:rFonts w:ascii="Times New Roman" w:eastAsia="宋体" w:hAnsi="Times New Roman" w:cs="Times New Roman"/>
          <w:snapToGrid w:val="0"/>
          <w:kern w:val="0"/>
          <w:sz w:val="22"/>
        </w:rPr>
        <w:t>Option 2: Multiple BWPs can be configured, single BWP activated, gNB transmits PDSCH on a single BWP if CCA is successful at gNB for the whole BWP</w:t>
      </w:r>
    </w:p>
    <w:p w14:paraId="638ED2C8" w14:textId="77777777" w:rsidR="003971B9" w:rsidRPr="000F6996" w:rsidRDefault="003971B9" w:rsidP="003971B9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snapToGrid w:val="0"/>
          <w:kern w:val="0"/>
          <w:sz w:val="22"/>
        </w:rPr>
      </w:pPr>
      <w:r w:rsidRPr="000F6996">
        <w:rPr>
          <w:rFonts w:ascii="Times New Roman" w:eastAsia="宋体" w:hAnsi="Times New Roman" w:cs="Times New Roman"/>
          <w:snapToGrid w:val="0"/>
          <w:kern w:val="0"/>
          <w:sz w:val="22"/>
        </w:rPr>
        <w:t>Option 3: Multiple BWPs can be configured, single BWP activated, gNB transmits PDSCH on parts or whole of single BWP where CCA is successful at gNB</w:t>
      </w:r>
    </w:p>
    <w:p w14:paraId="521B1368" w14:textId="39C1FDC9" w:rsidR="00D5653D" w:rsidRDefault="00D5653D" w:rsidP="00D5653D">
      <w:pPr>
        <w:pStyle w:val="LGTdoc1"/>
        <w:spacing w:before="156" w:after="24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According to 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the LS reply</w:t>
      </w:r>
      <w:r w:rsidR="00841F61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on wideband operation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from RAN4</w:t>
      </w:r>
      <w:r w:rsidR="00B2312F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[</w:t>
      </w:r>
      <w:r w:rsidR="00FC1BB5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4</w:t>
      </w: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], transmission spanning multiple contiguous LBT sub-bands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="00B2312F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is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feasible</w:t>
      </w: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. However,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the feasibility of transmission across non-</w:t>
      </w:r>
      <w:r w:rsidR="00F5645D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contiguous LBT sub-bands is un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clear.</w:t>
      </w: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="00B2312F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Therefore, </w:t>
      </w:r>
      <w:r w:rsidR="0093032D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Option 1a and </w:t>
      </w:r>
      <w:r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Option 3</w:t>
      </w:r>
      <w:r w:rsidR="009342DE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should be further specified</w:t>
      </w:r>
      <w:r w:rsidR="001D0F00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considering</w:t>
      </w:r>
      <w:r w:rsidR="00B2312F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the LS</w:t>
      </w:r>
      <w:r w:rsidR="001D0F00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reply</w:t>
      </w:r>
      <w:r w:rsidR="00B2312F" w:rsidRPr="006164F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.</w:t>
      </w:r>
    </w:p>
    <w:p w14:paraId="04C7ECB0" w14:textId="1B0F644F" w:rsidR="00D5653D" w:rsidRPr="006164FF" w:rsidRDefault="00D5653D" w:rsidP="00D5653D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lastRenderedPageBreak/>
        <w:t xml:space="preserve">Proposal 2: </w:t>
      </w:r>
      <w:r w:rsidR="004106CA"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Option 1a and Option 3 </w:t>
      </w:r>
      <w:r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should be </w:t>
      </w:r>
      <w:r w:rsidR="009342DE"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further specified </w:t>
      </w:r>
      <w:r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t>considering RAN4 LS reply</w:t>
      </w:r>
      <w:r w:rsidR="008E6713" w:rsidRPr="006164FF"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16CD22E1" w14:textId="64B6890D" w:rsidR="0093032D" w:rsidRPr="006164FF" w:rsidRDefault="0093032D" w:rsidP="0093032D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b/>
          <w:snapToGrid w:val="0"/>
          <w:kern w:val="0"/>
          <w:sz w:val="22"/>
        </w:rPr>
      </w:pP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Option 1a: Multiple BWPs configured, multiple BWPs activated, transmission of PDSCH on one or more BWPs </w:t>
      </w: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  <w:u w:val="single"/>
        </w:rPr>
        <w:t>with contiguous LBT sub-bands</w:t>
      </w:r>
      <w:r w:rsidRPr="006164FF">
        <w:rPr>
          <w:rFonts w:ascii="Times New Roman" w:eastAsia="宋体" w:hAnsi="Times New Roman" w:cs="Times New Roman" w:hint="eastAsia"/>
          <w:b/>
          <w:snapToGrid w:val="0"/>
          <w:kern w:val="0"/>
          <w:sz w:val="22"/>
          <w:u w:val="single"/>
        </w:rPr>
        <w:t>.</w:t>
      </w:r>
    </w:p>
    <w:p w14:paraId="7D62527C" w14:textId="43128D42" w:rsidR="00D5653D" w:rsidRDefault="00D5653D" w:rsidP="00D5653D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b/>
          <w:snapToGrid w:val="0"/>
          <w:kern w:val="0"/>
          <w:sz w:val="22"/>
        </w:rPr>
      </w:pP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Option 3: Multiple BWPs can be configured, single BWP activated, gNB transmits PDSCH on </w:t>
      </w: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  <w:u w:val="single"/>
        </w:rPr>
        <w:t>contiguous</w:t>
      </w: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 parts or whole of single BWP where CCA is successful at gNB</w:t>
      </w:r>
      <w:r w:rsidR="00BF30C3">
        <w:rPr>
          <w:rFonts w:ascii="Times New Roman" w:eastAsia="宋体" w:hAnsi="Times New Roman" w:cs="Times New Roman"/>
          <w:b/>
          <w:snapToGrid w:val="0"/>
          <w:kern w:val="0"/>
          <w:sz w:val="22"/>
        </w:rPr>
        <w:t>.</w:t>
      </w:r>
    </w:p>
    <w:p w14:paraId="5A7B30F8" w14:textId="77777777" w:rsidR="00BF30C3" w:rsidRPr="006164FF" w:rsidRDefault="00BF30C3" w:rsidP="00BF30C3">
      <w:pPr>
        <w:widowControl/>
        <w:jc w:val="left"/>
        <w:rPr>
          <w:rFonts w:ascii="Times New Roman" w:eastAsia="宋体" w:hAnsi="Times New Roman" w:cs="Times New Roman"/>
          <w:b/>
          <w:snapToGrid w:val="0"/>
          <w:kern w:val="0"/>
          <w:sz w:val="22"/>
        </w:rPr>
      </w:pPr>
    </w:p>
    <w:p w14:paraId="3659CCEC" w14:textId="1835BD67" w:rsidR="00395D7F" w:rsidRDefault="00B2312F" w:rsidP="003971B9">
      <w:pPr>
        <w:pStyle w:val="LGTdoc1"/>
        <w:spacing w:before="156" w:after="24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As shown in Table 1, a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mong the options above, Option 1a, Option 1b and Option 3 can achieve </w:t>
      </w:r>
      <w:r w:rsidR="00AB3ED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higher</w:t>
      </w:r>
      <w:r w:rsidR="00AB3ED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resource utilization </w:t>
      </w:r>
      <w:r w:rsidR="00AA1D77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than option 2 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due to bandwidth adaptive to sub-bands CCA results, in the price of potential more stringent RF requirements (e.g. adaptation of RF filtering). However, Option 1a and Option 1b need further support of multiple active BWPs</w:t>
      </w:r>
      <w:r w:rsidR="00AA1D77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. It 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require</w:t>
      </w:r>
      <w:r w:rsidR="00AA1D77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s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much more standardization efforts. </w:t>
      </w:r>
      <w:r w:rsidR="00AA1D77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Taking the above into account</w:t>
      </w:r>
      <w:r w:rsidR="003971B9" w:rsidRPr="000F6996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, Option 3 can be supported for better resource utilization and Option 2 can be supported for </w:t>
      </w:r>
      <w:r w:rsidR="00BF30C3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less stringent RF requirements.</w:t>
      </w:r>
    </w:p>
    <w:p w14:paraId="656CC105" w14:textId="60AFD110" w:rsidR="00BF30C3" w:rsidRDefault="00BF30C3" w:rsidP="003971B9">
      <w:pPr>
        <w:pStyle w:val="LGTdoc1"/>
        <w:spacing w:before="156" w:after="24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3</w:t>
      </w:r>
      <w:r w:rsidRPr="000F699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For BWP-based operation within a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wideband</w:t>
      </w:r>
      <w:r w:rsidRPr="000F699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carrier, support Option 3 for better resource utilization and Option 2 for less stringent RF requirements.</w:t>
      </w:r>
    </w:p>
    <w:p w14:paraId="0938CC58" w14:textId="77777777" w:rsidR="00BF30C3" w:rsidRDefault="00BF30C3" w:rsidP="003971B9">
      <w:pPr>
        <w:pStyle w:val="LGTdoc1"/>
        <w:spacing w:before="156" w:after="24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</w:p>
    <w:p w14:paraId="14DC54B2" w14:textId="0118D27E" w:rsidR="00B2312F" w:rsidRDefault="00B2312F" w:rsidP="00F5645D">
      <w:pPr>
        <w:pStyle w:val="LGTdoc1"/>
        <w:spacing w:before="156" w:afterLines="50" w:after="156" w:afterAutospacing="0"/>
        <w:jc w:val="center"/>
        <w:rPr>
          <w:b w:val="0"/>
          <w:sz w:val="20"/>
        </w:rPr>
      </w:pPr>
      <w:r w:rsidRPr="00F5645D">
        <w:rPr>
          <w:b w:val="0"/>
          <w:sz w:val="20"/>
        </w:rPr>
        <w:t>Table 1 Comparison of the 4 options</w:t>
      </w:r>
    </w:p>
    <w:tbl>
      <w:tblPr>
        <w:tblStyle w:val="ab"/>
        <w:tblW w:w="9232" w:type="dxa"/>
        <w:jc w:val="center"/>
        <w:tblLook w:val="04A0" w:firstRow="1" w:lastRow="0" w:firstColumn="1" w:lastColumn="0" w:noHBand="0" w:noVBand="1"/>
      </w:tblPr>
      <w:tblGrid>
        <w:gridCol w:w="1129"/>
        <w:gridCol w:w="2984"/>
        <w:gridCol w:w="5119"/>
      </w:tblGrid>
      <w:tr w:rsidR="00841F61" w14:paraId="566FF5F1" w14:textId="77777777" w:rsidTr="00F5645D">
        <w:trPr>
          <w:trHeight w:val="18"/>
          <w:jc w:val="center"/>
        </w:trPr>
        <w:tc>
          <w:tcPr>
            <w:tcW w:w="1129" w:type="dxa"/>
          </w:tcPr>
          <w:p w14:paraId="5857087A" w14:textId="77777777" w:rsidR="00841F61" w:rsidRDefault="00841F61" w:rsidP="00F5645D">
            <w:pPr>
              <w:pStyle w:val="LGTdoc1"/>
              <w:spacing w:beforeLines="0" w:after="120" w:afterAutospacing="0"/>
              <w:jc w:val="center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984" w:type="dxa"/>
          </w:tcPr>
          <w:p w14:paraId="1DED0E5C" w14:textId="3E224BC3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P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ros</w:t>
            </w:r>
          </w:p>
        </w:tc>
        <w:tc>
          <w:tcPr>
            <w:tcW w:w="0" w:type="auto"/>
          </w:tcPr>
          <w:p w14:paraId="2A4C9153" w14:textId="44C13EA6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Cons</w:t>
            </w:r>
          </w:p>
        </w:tc>
      </w:tr>
      <w:tr w:rsidR="00841F61" w14:paraId="10115EE7" w14:textId="77777777" w:rsidTr="00F5645D">
        <w:trPr>
          <w:trHeight w:val="18"/>
          <w:jc w:val="center"/>
        </w:trPr>
        <w:tc>
          <w:tcPr>
            <w:tcW w:w="1129" w:type="dxa"/>
          </w:tcPr>
          <w:p w14:paraId="203B01C2" w14:textId="77E01442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Option 1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2984" w:type="dxa"/>
          </w:tcPr>
          <w:p w14:paraId="12BF35D6" w14:textId="4E0041A7" w:rsidR="00841F61" w:rsidRDefault="00AB3ED9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higher</w:t>
            </w:r>
            <w:r w:rsidR="00841F61"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resource utilization</w:t>
            </w:r>
          </w:p>
        </w:tc>
        <w:tc>
          <w:tcPr>
            <w:tcW w:w="0" w:type="auto"/>
          </w:tcPr>
          <w:p w14:paraId="4E7C7EF6" w14:textId="77777777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more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stringent RF requirements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;</w:t>
            </w:r>
          </w:p>
          <w:p w14:paraId="4C811BB9" w14:textId="052F6D69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more standardization effort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s to support 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multiple active BWP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s</w:t>
            </w:r>
          </w:p>
        </w:tc>
      </w:tr>
      <w:tr w:rsidR="00841F61" w14:paraId="0E14D900" w14:textId="77777777" w:rsidTr="00F5645D">
        <w:trPr>
          <w:trHeight w:val="18"/>
          <w:jc w:val="center"/>
        </w:trPr>
        <w:tc>
          <w:tcPr>
            <w:tcW w:w="1129" w:type="dxa"/>
          </w:tcPr>
          <w:p w14:paraId="05727D78" w14:textId="191F84A0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Option 1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b</w:t>
            </w:r>
          </w:p>
        </w:tc>
        <w:tc>
          <w:tcPr>
            <w:tcW w:w="2984" w:type="dxa"/>
          </w:tcPr>
          <w:p w14:paraId="144404E4" w14:textId="7AE384EC" w:rsidR="00841F61" w:rsidRDefault="00AB3ED9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higher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resource utilization</w:t>
            </w:r>
          </w:p>
        </w:tc>
        <w:tc>
          <w:tcPr>
            <w:tcW w:w="0" w:type="auto"/>
          </w:tcPr>
          <w:p w14:paraId="62CE19B5" w14:textId="77777777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more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stringent RF requirements</w:t>
            </w: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;</w:t>
            </w:r>
          </w:p>
          <w:p w14:paraId="107C5D52" w14:textId="33D0CE5D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more standardization effort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s to support 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multiple active BWP</w:t>
            </w: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s</w:t>
            </w:r>
          </w:p>
        </w:tc>
      </w:tr>
      <w:tr w:rsidR="00841F61" w14:paraId="3EA1DA76" w14:textId="77777777" w:rsidTr="00F5645D">
        <w:trPr>
          <w:trHeight w:val="18"/>
          <w:jc w:val="center"/>
        </w:trPr>
        <w:tc>
          <w:tcPr>
            <w:tcW w:w="1129" w:type="dxa"/>
          </w:tcPr>
          <w:p w14:paraId="50D5900B" w14:textId="17BD2380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Option 2</w:t>
            </w:r>
          </w:p>
        </w:tc>
        <w:tc>
          <w:tcPr>
            <w:tcW w:w="2984" w:type="dxa"/>
          </w:tcPr>
          <w:p w14:paraId="2C03D4EF" w14:textId="451F1B11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less stringent RF requirements</w:t>
            </w:r>
          </w:p>
        </w:tc>
        <w:tc>
          <w:tcPr>
            <w:tcW w:w="0" w:type="auto"/>
          </w:tcPr>
          <w:p w14:paraId="2A0C8D9F" w14:textId="687C7CB6" w:rsidR="00841F61" w:rsidRDefault="00AA1D77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l</w:t>
            </w:r>
            <w:r w:rsidR="00AB3ED9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ower </w:t>
            </w:r>
            <w:r w:rsidR="00AB3ED9"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resource utilization</w:t>
            </w:r>
          </w:p>
        </w:tc>
      </w:tr>
      <w:tr w:rsidR="00841F61" w14:paraId="38C6F74E" w14:textId="77777777" w:rsidTr="00F5645D">
        <w:trPr>
          <w:trHeight w:val="18"/>
          <w:jc w:val="center"/>
        </w:trPr>
        <w:tc>
          <w:tcPr>
            <w:tcW w:w="1129" w:type="dxa"/>
          </w:tcPr>
          <w:p w14:paraId="292CB782" w14:textId="4BA99540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sz w:val="22"/>
                <w:szCs w:val="22"/>
                <w:lang w:val="en-US" w:eastAsia="zh-CN"/>
              </w:rPr>
              <w:t>Option 3</w:t>
            </w:r>
          </w:p>
        </w:tc>
        <w:tc>
          <w:tcPr>
            <w:tcW w:w="2984" w:type="dxa"/>
          </w:tcPr>
          <w:p w14:paraId="3388B757" w14:textId="056F4919" w:rsidR="00841F61" w:rsidRDefault="00AB3ED9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higher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resource utilization</w:t>
            </w:r>
          </w:p>
        </w:tc>
        <w:tc>
          <w:tcPr>
            <w:tcW w:w="0" w:type="auto"/>
          </w:tcPr>
          <w:p w14:paraId="1EEE5887" w14:textId="6C89968E" w:rsidR="00841F61" w:rsidRDefault="00841F61" w:rsidP="00F5645D">
            <w:pPr>
              <w:pStyle w:val="LGTdoc1"/>
              <w:spacing w:beforeLines="0" w:after="120" w:afterAutospacing="0"/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>more</w:t>
            </w:r>
            <w:r w:rsidRPr="000F6996">
              <w:rPr>
                <w:rFonts w:ascii="Times New Roman" w:eastAsia="宋体" w:hAnsi="Times New Roman" w:cs="Times New Roman"/>
                <w:b w:val="0"/>
                <w:sz w:val="22"/>
                <w:szCs w:val="22"/>
                <w:lang w:val="en-US" w:eastAsia="zh-CN"/>
              </w:rPr>
              <w:t xml:space="preserve"> stringent RF requirements</w:t>
            </w:r>
          </w:p>
        </w:tc>
      </w:tr>
    </w:tbl>
    <w:p w14:paraId="42D2ED0D" w14:textId="77777777" w:rsidR="00124D8C" w:rsidRDefault="00124D8C" w:rsidP="00B2312F">
      <w:pPr>
        <w:pStyle w:val="LGTdoc1"/>
        <w:spacing w:before="156" w:after="0" w:afterAutospacing="0"/>
        <w:rPr>
          <w:rFonts w:ascii="Times New Roman" w:eastAsia="宋体" w:hAnsi="Times New Roman" w:cs="Times New Roman"/>
          <w:i/>
          <w:sz w:val="22"/>
          <w:szCs w:val="22"/>
          <w:lang w:val="en-US" w:eastAsia="zh-CN"/>
        </w:rPr>
      </w:pPr>
    </w:p>
    <w:p w14:paraId="3D11CD31" w14:textId="3F0039A8" w:rsidR="00841F61" w:rsidRPr="00F5645D" w:rsidRDefault="00841F61" w:rsidP="00B2312F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PDCCH on a wideband carrier</w:t>
      </w:r>
    </w:p>
    <w:p w14:paraId="5ACA31F2" w14:textId="77777777" w:rsidR="003971B9" w:rsidRPr="00BC45E1" w:rsidRDefault="003971B9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Considering PDCCH transmission under the assumption of bandwidth </w:t>
      </w:r>
      <w:r w:rsidRPr="006322F3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adaptive to sub-bands CCA results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, one PDCCH should be confined within a LBT sub-band to avoid the transmission blocking. Because if one PDCCH locates across 2 or more LBT sub-bands, once one of the LBT sub-band is identified as busy, the PDCCH cannot be transmitted as a whole. </w:t>
      </w:r>
    </w:p>
    <w:p w14:paraId="19EAE596" w14:textId="0B254FF5" w:rsidR="003971B9" w:rsidRDefault="004106CA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4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>One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PDCCH should be confined within a LBT sub-band to avoid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the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transmission blocking due to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the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sub-band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based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>LBT</w:t>
      </w:r>
      <w:r w:rsidR="003971B9"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>.</w:t>
      </w:r>
    </w:p>
    <w:p w14:paraId="111F42AF" w14:textId="30EF63A3" w:rsidR="00BF30C3" w:rsidRPr="00927B8A" w:rsidRDefault="00BF30C3">
      <w:pPr>
        <w:widowControl/>
        <w:jc w:val="left"/>
        <w:rPr>
          <w:rFonts w:ascii="Times New Roman" w:eastAsia="宋体" w:hAnsi="Times New Roman" w:cs="Times New Roman"/>
          <w:sz w:val="22"/>
        </w:rPr>
      </w:pPr>
    </w:p>
    <w:p w14:paraId="6ACE3E93" w14:textId="05438FDB" w:rsidR="00927B8A" w:rsidRPr="00927B8A" w:rsidRDefault="00927B8A">
      <w:pPr>
        <w:widowControl/>
        <w:jc w:val="left"/>
        <w:rPr>
          <w:rFonts w:ascii="Times New Roman" w:eastAsia="宋体" w:hAnsi="Times New Roman" w:cs="Times New Roman"/>
          <w:sz w:val="22"/>
        </w:rPr>
      </w:pPr>
      <w:r w:rsidRPr="00927B8A">
        <w:rPr>
          <w:rFonts w:ascii="Times New Roman" w:eastAsia="宋体" w:hAnsi="Times New Roman" w:cs="Times New Roman"/>
          <w:sz w:val="22"/>
        </w:rPr>
        <w:br w:type="page"/>
      </w:r>
    </w:p>
    <w:p w14:paraId="32A7EA23" w14:textId="11822FCB" w:rsidR="00841F61" w:rsidRDefault="00841F61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  <w:bookmarkStart w:id="3" w:name="_GoBack"/>
      <w:bookmarkEnd w:id="3"/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lastRenderedPageBreak/>
        <w:t>CWS adjustment for a wideband carrier</w:t>
      </w:r>
    </w:p>
    <w:p w14:paraId="7978F7E0" w14:textId="77777777" w:rsidR="00BF30C3" w:rsidRDefault="00BF30C3" w:rsidP="00BF30C3">
      <w:pPr>
        <w:pStyle w:val="LGTdoc1"/>
        <w:spacing w:before="156" w:after="0" w:afterAutospacing="0"/>
        <w:jc w:val="center"/>
        <w:rPr>
          <w:b w:val="0"/>
          <w:sz w:val="18"/>
        </w:rPr>
      </w:pPr>
      <w:r w:rsidRPr="00044144">
        <w:rPr>
          <w:rFonts w:ascii="Times New Roman" w:eastAsia="宋体" w:hAnsi="Times New Roman" w:cs="Times New Roman"/>
          <w:sz w:val="22"/>
          <w:szCs w:val="22"/>
          <w:lang w:val="en-US" w:eastAsia="zh-CN"/>
        </w:rPr>
        <w:object w:dxaOrig="4637" w:dyaOrig="2128" w14:anchorId="0D6F14AD">
          <v:shape id="_x0000_i1026" type="#_x0000_t75" style="width:255.5pt;height:117pt" o:ole="">
            <v:imagedata r:id="rId9" o:title=""/>
          </v:shape>
          <o:OLEObject Type="Embed" ProgID="Visio.Drawing.11" ShapeID="_x0000_i1026" DrawAspect="Content" ObjectID="_1608725170" r:id="rId10"/>
        </w:object>
      </w:r>
      <w:r w:rsidRPr="00AC598B">
        <w:rPr>
          <w:b w:val="0"/>
          <w:sz w:val="18"/>
        </w:rPr>
        <w:t xml:space="preserve"> </w:t>
      </w:r>
    </w:p>
    <w:p w14:paraId="30CA5412" w14:textId="77777777" w:rsidR="00BF30C3" w:rsidRPr="009F5E2B" w:rsidRDefault="00BF30C3" w:rsidP="00BF30C3">
      <w:pPr>
        <w:pStyle w:val="LGTdoc1"/>
        <w:spacing w:before="156" w:after="0" w:afterAutospacing="0"/>
        <w:jc w:val="center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9F5E2B">
        <w:rPr>
          <w:b w:val="0"/>
          <w:sz w:val="20"/>
        </w:rPr>
        <w:t xml:space="preserve">Figure </w:t>
      </w:r>
      <w:r>
        <w:rPr>
          <w:b w:val="0"/>
          <w:sz w:val="20"/>
        </w:rPr>
        <w:t>2</w:t>
      </w:r>
      <w:r w:rsidRPr="009F5E2B">
        <w:rPr>
          <w:b w:val="0"/>
          <w:sz w:val="20"/>
        </w:rPr>
        <w:t>. Example of available BW after sub-band LBT</w:t>
      </w:r>
    </w:p>
    <w:p w14:paraId="637668B5" w14:textId="2AFD900C" w:rsidR="003971B9" w:rsidRDefault="00841F61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he impacts of adaptive bandwidth on CWS adjustment may also need to be studied. An example case is, the data is transmitted on the sub-band 0 as shown in Figure </w:t>
      </w:r>
      <w:r w:rsidR="00124D8C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2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, but the next Cat-4 LBT trial may </w:t>
      </w:r>
      <w:r w:rsidR="0019187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be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perform</w:t>
      </w:r>
      <w:r w:rsidR="0019187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ed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based on the wideband including sub-band 0 and sub-band 1. Then there </w:t>
      </w:r>
      <w:r w:rsidR="0019187F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would </w:t>
      </w:r>
      <w:r w:rsidR="003971B9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be a question that how to determine the reference data and maintain/adjust CWS for the next LBT trial.</w:t>
      </w:r>
    </w:p>
    <w:p w14:paraId="7B5CF41D" w14:textId="380DEC8E" w:rsidR="00BF30C3" w:rsidRDefault="00BF30C3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5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T</w:t>
      </w:r>
      <w:r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>he impact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s</w:t>
      </w:r>
      <w:r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of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adaptive</w:t>
      </w:r>
      <w:r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bandwidth on CWS adjustment need to be studied.</w:t>
      </w:r>
    </w:p>
    <w:p w14:paraId="6CDAFD22" w14:textId="77777777" w:rsidR="003971B9" w:rsidRPr="005975A7" w:rsidRDefault="003971B9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</w:p>
    <w:p w14:paraId="282DFA70" w14:textId="77777777" w:rsidR="003971B9" w:rsidRPr="004106CA" w:rsidRDefault="003971B9" w:rsidP="004106CA">
      <w:pPr>
        <w:pStyle w:val="LGTdoc1"/>
        <w:numPr>
          <w:ilvl w:val="0"/>
          <w:numId w:val="27"/>
        </w:numPr>
        <w:spacing w:beforeLines="0" w:before="100" w:beforeAutospacing="1"/>
        <w:outlineLvl w:val="0"/>
        <w:rPr>
          <w:snapToGrid w:val="0"/>
          <w:szCs w:val="22"/>
          <w:lang w:val="en-US"/>
        </w:rPr>
      </w:pPr>
      <w:r w:rsidRPr="004106CA">
        <w:rPr>
          <w:snapToGrid w:val="0"/>
          <w:szCs w:val="22"/>
          <w:lang w:val="en-US"/>
        </w:rPr>
        <w:t>Conclusions</w:t>
      </w:r>
    </w:p>
    <w:p w14:paraId="06ED628C" w14:textId="77777777" w:rsidR="003971B9" w:rsidRDefault="003971B9" w:rsidP="003971B9">
      <w:pPr>
        <w:pStyle w:val="LGTdoc1"/>
        <w:spacing w:beforeLines="0" w:after="120" w:afterAutospacing="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 w:rsidRPr="001A2E8C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In this document, some considerations on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channel access for a single carrier with integer multiples of 20 MHz</w:t>
      </w:r>
      <w:r w:rsidRPr="001A2E8C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are presented. Based on the discussion, we have following proposals:</w:t>
      </w:r>
    </w:p>
    <w:p w14:paraId="5BC379EF" w14:textId="42DE3211" w:rsidR="008E6713" w:rsidRDefault="008E6713" w:rsidP="008E6713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1</w:t>
      </w:r>
      <w:r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 xml:space="preserve">: </w:t>
      </w:r>
      <w:r w:rsidRPr="007E259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For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an NR-U wideband carrier</w:t>
      </w:r>
      <w:r w:rsidRPr="007E259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,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NR-U needs to </w:t>
      </w:r>
      <w:r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>s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upport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the 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sub-band LB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T based on the framework of LTE-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LAA multi-carrier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channel access for </w:t>
      </w:r>
      <w:r w:rsidRPr="00492403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less standardization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work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7529AE7F" w14:textId="14C95CDE" w:rsidR="008E6713" w:rsidRDefault="008E6713" w:rsidP="008E6713">
      <w:pPr>
        <w:pStyle w:val="LGTdoc1"/>
        <w:numPr>
          <w:ilvl w:val="0"/>
          <w:numId w:val="22"/>
        </w:numPr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Treat an L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BT sub-band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as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a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n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LTE-LAA </w:t>
      </w:r>
      <w:r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>carrier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, and treat the NR-U wideband carrier as an aggregation of LTE-LAA carriers.</w:t>
      </w:r>
    </w:p>
    <w:p w14:paraId="5B1834D2" w14:textId="4C0C60E4" w:rsidR="008E6713" w:rsidRDefault="008E6713" w:rsidP="008E6713">
      <w:pPr>
        <w:pStyle w:val="LGTdoc1"/>
        <w:numPr>
          <w:ilvl w:val="0"/>
          <w:numId w:val="22"/>
        </w:numPr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Support both Type A and Type B.</w:t>
      </w:r>
    </w:p>
    <w:p w14:paraId="577B892B" w14:textId="0BFC5E6F" w:rsidR="008E6713" w:rsidRPr="008E6713" w:rsidRDefault="008E6713" w:rsidP="008E6713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 w:rsidRPr="008E6713"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2: Option 1a and Option 3 should be further specified considering RAN4 LS reply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.</w:t>
      </w:r>
    </w:p>
    <w:p w14:paraId="394A2272" w14:textId="77777777" w:rsidR="008E6713" w:rsidRPr="008E6713" w:rsidRDefault="008E6713" w:rsidP="008E6713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b/>
          <w:snapToGrid w:val="0"/>
          <w:kern w:val="0"/>
          <w:sz w:val="22"/>
        </w:rPr>
      </w:pPr>
      <w:r w:rsidRPr="008E6713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Option 1a: Multiple BWPs configured, multiple BWPs activated, transmission of PDSCH on one or more BWPs </w:t>
      </w:r>
      <w:r w:rsidRPr="008E6713">
        <w:rPr>
          <w:rFonts w:ascii="Times New Roman" w:eastAsia="宋体" w:hAnsi="Times New Roman" w:cs="Times New Roman"/>
          <w:b/>
          <w:snapToGrid w:val="0"/>
          <w:kern w:val="0"/>
          <w:sz w:val="22"/>
          <w:u w:val="single"/>
        </w:rPr>
        <w:t>with contiguous LBT sub-bands</w:t>
      </w:r>
      <w:r w:rsidRPr="008E6713">
        <w:rPr>
          <w:rFonts w:ascii="Times New Roman" w:eastAsia="宋体" w:hAnsi="Times New Roman" w:cs="Times New Roman" w:hint="eastAsia"/>
          <w:b/>
          <w:snapToGrid w:val="0"/>
          <w:kern w:val="0"/>
          <w:sz w:val="22"/>
          <w:u w:val="single"/>
        </w:rPr>
        <w:t>.</w:t>
      </w:r>
    </w:p>
    <w:p w14:paraId="6C183180" w14:textId="1A240D56" w:rsidR="008E6713" w:rsidRPr="008E6713" w:rsidRDefault="00BB294D" w:rsidP="008E6713">
      <w:pPr>
        <w:widowControl/>
        <w:numPr>
          <w:ilvl w:val="0"/>
          <w:numId w:val="11"/>
        </w:numPr>
        <w:jc w:val="left"/>
        <w:rPr>
          <w:rFonts w:ascii="Times New Roman" w:eastAsia="宋体" w:hAnsi="Times New Roman" w:cs="Times New Roman"/>
          <w:b/>
          <w:snapToGrid w:val="0"/>
          <w:kern w:val="0"/>
          <w:sz w:val="22"/>
        </w:rPr>
      </w:pP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Option 3: Multiple BWPs can be configured, single BWP activated, gNB transmits PDSCH on </w:t>
      </w: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  <w:u w:val="single"/>
        </w:rPr>
        <w:t>contiguous</w:t>
      </w:r>
      <w:r w:rsidRPr="006164FF">
        <w:rPr>
          <w:rFonts w:ascii="Times New Roman" w:eastAsia="宋体" w:hAnsi="Times New Roman" w:cs="Times New Roman"/>
          <w:b/>
          <w:snapToGrid w:val="0"/>
          <w:kern w:val="0"/>
          <w:sz w:val="22"/>
        </w:rPr>
        <w:t xml:space="preserve"> parts or whole of single BWP where CCA is successful at gNB</w:t>
      </w:r>
      <w:r>
        <w:rPr>
          <w:rFonts w:ascii="Times New Roman" w:eastAsia="宋体" w:hAnsi="Times New Roman" w:cs="Times New Roman"/>
          <w:b/>
          <w:snapToGrid w:val="0"/>
          <w:kern w:val="0"/>
          <w:sz w:val="22"/>
        </w:rPr>
        <w:t>.</w:t>
      </w:r>
    </w:p>
    <w:p w14:paraId="4D42B036" w14:textId="77777777" w:rsidR="008E6713" w:rsidRDefault="008E6713" w:rsidP="008E6713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3</w:t>
      </w:r>
      <w:r w:rsidRPr="000F699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For BWP-based operation within a </w:t>
      </w: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wideband</w:t>
      </w:r>
      <w:r w:rsidRPr="000F6996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carrier, support Option 3 for better resource utilization and Option 2 for less stringent RF requirements.</w:t>
      </w:r>
    </w:p>
    <w:p w14:paraId="17A8D95B" w14:textId="77310F49" w:rsidR="003971B9" w:rsidRDefault="002F78EF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4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>One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PDCCH should be confined within a LBT sub-band to avoid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the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transmission blocking due to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the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sub-band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based </w:t>
      </w:r>
      <w:r w:rsidR="003971B9" w:rsidRPr="00FF0890">
        <w:rPr>
          <w:rFonts w:ascii="Times New Roman" w:eastAsia="宋体" w:hAnsi="Times New Roman" w:cs="Times New Roman"/>
          <w:sz w:val="22"/>
          <w:szCs w:val="22"/>
          <w:lang w:val="en-US" w:eastAsia="zh-CN"/>
        </w:rPr>
        <w:t>LBT</w:t>
      </w:r>
      <w:r w:rsidR="003971B9">
        <w:rPr>
          <w:rFonts w:ascii="Times New Roman" w:eastAsia="宋体" w:hAnsi="Times New Roman" w:cs="Times New Roman" w:hint="eastAsia"/>
          <w:sz w:val="22"/>
          <w:szCs w:val="22"/>
          <w:lang w:val="en-US" w:eastAsia="zh-CN"/>
        </w:rPr>
        <w:t>.</w:t>
      </w:r>
    </w:p>
    <w:p w14:paraId="43A74070" w14:textId="7E9CA754" w:rsidR="003971B9" w:rsidRDefault="002F78EF" w:rsidP="003971B9">
      <w:pPr>
        <w:pStyle w:val="LGTdoc1"/>
        <w:spacing w:before="156" w:after="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2"/>
          <w:szCs w:val="22"/>
          <w:lang w:val="en-US" w:eastAsia="zh-CN"/>
        </w:rPr>
        <w:t>Proposal 5</w:t>
      </w:r>
      <w:r w:rsidR="003971B9" w:rsidRPr="0011686D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: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>T</w:t>
      </w:r>
      <w:r w:rsidR="003971B9"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>he impact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>s</w:t>
      </w:r>
      <w:r w:rsidR="003971B9"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of </w:t>
      </w:r>
      <w:r w:rsidR="003971B9">
        <w:rPr>
          <w:rFonts w:ascii="Times New Roman" w:eastAsia="宋体" w:hAnsi="Times New Roman" w:cs="Times New Roman"/>
          <w:sz w:val="22"/>
          <w:szCs w:val="22"/>
          <w:lang w:val="en-US" w:eastAsia="zh-CN"/>
        </w:rPr>
        <w:t>adaptive</w:t>
      </w:r>
      <w:r w:rsidR="003971B9" w:rsidRPr="006F4DE2">
        <w:rPr>
          <w:rFonts w:ascii="Times New Roman" w:eastAsia="宋体" w:hAnsi="Times New Roman" w:cs="Times New Roman"/>
          <w:sz w:val="22"/>
          <w:szCs w:val="22"/>
          <w:lang w:val="en-US" w:eastAsia="zh-CN"/>
        </w:rPr>
        <w:t xml:space="preserve"> bandwidth on CWS adjustment need to be studied.</w:t>
      </w:r>
    </w:p>
    <w:p w14:paraId="025FF45D" w14:textId="77777777" w:rsidR="003971B9" w:rsidRPr="00637CF5" w:rsidRDefault="003971B9" w:rsidP="003971B9">
      <w:pPr>
        <w:pStyle w:val="LGTdoc1"/>
        <w:spacing w:beforeLines="0" w:after="120" w:afterAutospacing="0"/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</w:p>
    <w:p w14:paraId="362E47F0" w14:textId="77777777" w:rsidR="003971B9" w:rsidRPr="00811A48" w:rsidRDefault="003971B9" w:rsidP="003971B9">
      <w:pPr>
        <w:pStyle w:val="LGTdoc1"/>
        <w:spacing w:beforeLines="0" w:before="100" w:beforeAutospacing="1"/>
        <w:outlineLvl w:val="0"/>
        <w:rPr>
          <w:szCs w:val="22"/>
          <w:lang w:val="en-US"/>
        </w:rPr>
      </w:pPr>
      <w:r w:rsidRPr="00811A48">
        <w:rPr>
          <w:szCs w:val="22"/>
          <w:lang w:val="en-US"/>
        </w:rPr>
        <w:t>References</w:t>
      </w:r>
    </w:p>
    <w:bookmarkEnd w:id="0"/>
    <w:p w14:paraId="288A85DA" w14:textId="4D6DE032" w:rsidR="003971B9" w:rsidRDefault="007E407F" w:rsidP="003971B9">
      <w:pPr>
        <w:numPr>
          <w:ilvl w:val="0"/>
          <w:numId w:val="21"/>
        </w:numPr>
        <w:autoSpaceDE w:val="0"/>
        <w:autoSpaceDN w:val="0"/>
        <w:ind w:left="357" w:hanging="357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R1-1812405</w:t>
      </w:r>
      <w:r w:rsidR="003971B9">
        <w:rPr>
          <w:rFonts w:ascii="Times New Roman" w:hAnsi="Times New Roman" w:cs="Times New Roman"/>
          <w:sz w:val="22"/>
          <w:lang w:val="en-GB"/>
        </w:rPr>
        <w:t xml:space="preserve">, </w:t>
      </w:r>
      <w:r w:rsidR="003971B9" w:rsidRPr="00BF4B80">
        <w:rPr>
          <w:rFonts w:ascii="Times New Roman" w:hAnsi="Times New Roman" w:cs="Times New Roman"/>
          <w:sz w:val="22"/>
          <w:lang w:val="en-GB"/>
        </w:rPr>
        <w:t>On channel access procedure for NR-U</w:t>
      </w:r>
      <w:r w:rsidR="003971B9">
        <w:rPr>
          <w:rFonts w:ascii="Times New Roman" w:hAnsi="Times New Roman" w:cs="Times New Roman"/>
          <w:sz w:val="22"/>
          <w:lang w:val="en-GB"/>
        </w:rPr>
        <w:t>, Fujitsu.</w:t>
      </w:r>
    </w:p>
    <w:p w14:paraId="46C10027" w14:textId="77777777" w:rsidR="003971B9" w:rsidRDefault="003971B9" w:rsidP="003971B9">
      <w:pPr>
        <w:numPr>
          <w:ilvl w:val="0"/>
          <w:numId w:val="21"/>
        </w:numPr>
        <w:autoSpaceDE w:val="0"/>
        <w:autoSpaceDN w:val="0"/>
        <w:ind w:left="357" w:hanging="357"/>
        <w:rPr>
          <w:rFonts w:ascii="Times New Roman" w:hAnsi="Times New Roman" w:cs="Times New Roman"/>
          <w:sz w:val="22"/>
          <w:lang w:val="en-GB"/>
        </w:rPr>
      </w:pPr>
      <w:r w:rsidRPr="00811A48">
        <w:rPr>
          <w:rFonts w:ascii="Times New Roman" w:hAnsi="Times New Roman" w:cs="Times New Roman"/>
          <w:sz w:val="22"/>
          <w:lang w:val="en-GB"/>
        </w:rPr>
        <w:t>Chairman's Notes RAN1</w:t>
      </w:r>
      <w:r>
        <w:rPr>
          <w:rFonts w:ascii="Times New Roman" w:hAnsi="Times New Roman" w:cs="Times New Roman"/>
          <w:sz w:val="22"/>
          <w:lang w:val="en-GB"/>
        </w:rPr>
        <w:t>_94</w:t>
      </w:r>
      <w:r w:rsidRPr="00811A48">
        <w:rPr>
          <w:rFonts w:ascii="Times New Roman" w:hAnsi="Times New Roman" w:cs="Times New Roman"/>
          <w:sz w:val="22"/>
          <w:lang w:val="en-GB"/>
        </w:rPr>
        <w:t xml:space="preserve">_final, </w:t>
      </w:r>
      <w:r>
        <w:rPr>
          <w:rFonts w:ascii="Times New Roman" w:hAnsi="Times New Roman" w:cs="Times New Roman"/>
          <w:sz w:val="22"/>
          <w:lang w:val="en-GB"/>
        </w:rPr>
        <w:t>3GPP TSG RAN WG1 Meeting #94</w:t>
      </w:r>
      <w:r w:rsidRPr="00811A48">
        <w:rPr>
          <w:rFonts w:ascii="Times New Roman" w:hAnsi="Times New Roman" w:cs="Times New Roman"/>
          <w:sz w:val="22"/>
          <w:lang w:val="en-GB"/>
        </w:rPr>
        <w:t>,</w:t>
      </w:r>
      <w:r>
        <w:rPr>
          <w:rFonts w:ascii="Times New Roman" w:hAnsi="Times New Roman" w:cs="Times New Roman"/>
          <w:sz w:val="22"/>
          <w:lang w:val="en-GB"/>
        </w:rPr>
        <w:t xml:space="preserve"> Aug. 2018.</w:t>
      </w:r>
    </w:p>
    <w:p w14:paraId="3E8E7989" w14:textId="77777777" w:rsidR="00FC0C46" w:rsidRDefault="003971B9" w:rsidP="00FC0C46">
      <w:pPr>
        <w:numPr>
          <w:ilvl w:val="0"/>
          <w:numId w:val="21"/>
        </w:numPr>
        <w:autoSpaceDE w:val="0"/>
        <w:autoSpaceDN w:val="0"/>
        <w:ind w:left="357" w:hanging="357"/>
        <w:rPr>
          <w:rFonts w:ascii="Times New Roman" w:hAnsi="Times New Roman" w:cs="Times New Roman"/>
          <w:sz w:val="22"/>
          <w:lang w:val="en-GB"/>
        </w:rPr>
      </w:pPr>
      <w:r w:rsidRPr="00FC0C46">
        <w:rPr>
          <w:rFonts w:ascii="Times New Roman" w:hAnsi="Times New Roman" w:cs="Times New Roman"/>
          <w:sz w:val="22"/>
          <w:lang w:val="en-GB"/>
        </w:rPr>
        <w:t>Chairman's Notes RAN1_94b_final, 3GPP TSG RAN WG1 Meeting #94b, Oct. 2018.</w:t>
      </w:r>
    </w:p>
    <w:p w14:paraId="28AAF76D" w14:textId="7AD94512" w:rsidR="00395D7F" w:rsidRPr="00FC0C46" w:rsidRDefault="00FC0C46" w:rsidP="00FC0C46">
      <w:pPr>
        <w:numPr>
          <w:ilvl w:val="0"/>
          <w:numId w:val="21"/>
        </w:numPr>
        <w:autoSpaceDE w:val="0"/>
        <w:autoSpaceDN w:val="0"/>
        <w:ind w:left="357" w:hanging="357"/>
        <w:rPr>
          <w:rFonts w:ascii="Times New Roman" w:hAnsi="Times New Roman" w:cs="Times New Roman"/>
          <w:sz w:val="22"/>
          <w:lang w:val="en-GB"/>
        </w:rPr>
      </w:pPr>
      <w:r w:rsidRPr="00FC0C46">
        <w:rPr>
          <w:rFonts w:ascii="Times New Roman" w:hAnsi="Times New Roman" w:cs="Times New Roman"/>
          <w:sz w:val="22"/>
          <w:lang w:val="en-GB"/>
        </w:rPr>
        <w:lastRenderedPageBreak/>
        <w:t>R1-1900008 (</w:t>
      </w:r>
      <w:r w:rsidR="00395D7F" w:rsidRPr="00FC0C46">
        <w:rPr>
          <w:rFonts w:ascii="Times New Roman" w:hAnsi="Times New Roman" w:cs="Times New Roman"/>
          <w:sz w:val="22"/>
          <w:lang w:val="en-GB"/>
        </w:rPr>
        <w:t>R4-1816658</w:t>
      </w:r>
      <w:r w:rsidRPr="00FC0C46">
        <w:rPr>
          <w:rFonts w:ascii="Times New Roman" w:hAnsi="Times New Roman" w:cs="Times New Roman"/>
          <w:sz w:val="22"/>
          <w:lang w:val="en-GB"/>
        </w:rPr>
        <w:t>)</w:t>
      </w:r>
      <w:r w:rsidR="00395D7F" w:rsidRPr="00FC0C46">
        <w:rPr>
          <w:rFonts w:ascii="Times New Roman" w:hAnsi="Times New Roman" w:cs="Times New Roman"/>
          <w:sz w:val="22"/>
          <w:lang w:val="en-GB"/>
        </w:rPr>
        <w:t xml:space="preserve">, </w:t>
      </w:r>
      <w:bookmarkStart w:id="4" w:name="_Hlk503517020"/>
      <w:r w:rsidR="00395D7F" w:rsidRPr="00FC0C46">
        <w:rPr>
          <w:rFonts w:ascii="Times New Roman" w:hAnsi="Times New Roman" w:cs="Times New Roman"/>
          <w:sz w:val="22"/>
          <w:lang w:val="en-GB"/>
        </w:rPr>
        <w:t>Reply LS on wideband carrier operation for NR-U</w:t>
      </w:r>
      <w:bookmarkEnd w:id="4"/>
      <w:r w:rsidRPr="00FC0C46">
        <w:rPr>
          <w:rFonts w:ascii="Times New Roman" w:hAnsi="Times New Roman" w:cs="Times New Roman"/>
          <w:sz w:val="22"/>
          <w:lang w:val="en-GB"/>
        </w:rPr>
        <w:t>, 3GPP TSG RAN WG1 Ad-Hoc Meeting 1901</w:t>
      </w:r>
    </w:p>
    <w:p w14:paraId="0808BEB0" w14:textId="5C04D9B7" w:rsidR="009342DE" w:rsidRDefault="009342DE" w:rsidP="002424CD">
      <w:pPr>
        <w:pStyle w:val="LGTdoc1"/>
        <w:spacing w:beforeLines="0" w:before="100" w:beforeAutospacing="1"/>
        <w:outlineLvl w:val="0"/>
        <w:rPr>
          <w:szCs w:val="22"/>
          <w:lang w:val="en-US"/>
        </w:rPr>
      </w:pPr>
      <w:r>
        <w:rPr>
          <w:szCs w:val="22"/>
          <w:lang w:val="en-US"/>
        </w:rPr>
        <w:t>Appendix</w:t>
      </w:r>
    </w:p>
    <w:p w14:paraId="4026B103" w14:textId="7D93D52D" w:rsidR="002424CD" w:rsidRPr="00F5645D" w:rsidRDefault="002424CD" w:rsidP="002424CD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</w:pPr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C</w:t>
      </w:r>
      <w:r w:rsidR="009342DE"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>hannel access for</w:t>
      </w:r>
      <w:r w:rsidRPr="00F5645D">
        <w:rPr>
          <w:rFonts w:ascii="Times New Roman" w:eastAsia="宋体" w:hAnsi="Times New Roman" w:cs="Times New Roman"/>
          <w:b w:val="0"/>
          <w:i/>
          <w:sz w:val="22"/>
          <w:szCs w:val="22"/>
          <w:u w:val="single"/>
          <w:lang w:val="en-US" w:eastAsia="zh-CN"/>
        </w:rPr>
        <w:t xml:space="preserve"> transmission on multiple carriers</w:t>
      </w:r>
    </w:p>
    <w:p w14:paraId="3CC115FE" w14:textId="77777777" w:rsidR="009342DE" w:rsidRPr="006F33C4" w:rsidRDefault="009342DE" w:rsidP="002424CD">
      <w:pPr>
        <w:pStyle w:val="LGTdoc1"/>
        <w:numPr>
          <w:ilvl w:val="0"/>
          <w:numId w:val="24"/>
        </w:numPr>
        <w:spacing w:before="156" w:after="0" w:afterAutospacing="0"/>
        <w:ind w:leftChars="100" w:left="63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Type A</w:t>
      </w:r>
    </w:p>
    <w:p w14:paraId="567573CF" w14:textId="77777777" w:rsidR="009342DE" w:rsidRPr="006F33C4" w:rsidRDefault="009342DE" w:rsidP="009342DE">
      <w:pPr>
        <w:pStyle w:val="LGTdoc1"/>
        <w:spacing w:before="156" w:after="0" w:afterAutospacing="0"/>
        <w:ind w:leftChars="283" w:left="594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An eNB performs Cat-4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LBT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(</w:t>
      </w:r>
      <w:r w:rsidRPr="00E1790C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LBT with random back-off with variable size of contention window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)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on each unlicensed carrier with potential self-deferral to align the transmissions over multiple carriers.</w:t>
      </w:r>
    </w:p>
    <w:p w14:paraId="72E8B16D" w14:textId="77777777" w:rsidR="009342DE" w:rsidRPr="006F33C4" w:rsidRDefault="009342DE" w:rsidP="009342DE">
      <w:pPr>
        <w:pStyle w:val="LGTdoc1"/>
        <w:numPr>
          <w:ilvl w:val="0"/>
          <w:numId w:val="24"/>
        </w:numPr>
        <w:spacing w:before="156" w:after="0" w:afterAutospacing="0"/>
        <w:ind w:leftChars="100" w:left="630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Type B</w:t>
      </w:r>
    </w:p>
    <w:p w14:paraId="63EB8BA5" w14:textId="41C962D1" w:rsidR="009342DE" w:rsidRDefault="009342DE" w:rsidP="009342DE">
      <w:pPr>
        <w:pStyle w:val="LGTdoc1"/>
        <w:spacing w:before="156" w:after="0" w:afterAutospacing="0"/>
        <w:ind w:leftChars="283" w:left="594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An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eNB p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erforms Cat-4 LBT on one of multiple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carriers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(e.g. CC 2 in Type B of Figure </w:t>
      </w:r>
      <w:r w:rsidR="008E6713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A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1)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, and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performs a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single interval LBT (25us) on the other carriers.</w:t>
      </w:r>
    </w:p>
    <w:p w14:paraId="5E592C41" w14:textId="77777777" w:rsidR="009342DE" w:rsidRDefault="009342DE" w:rsidP="009342DE">
      <w:pPr>
        <w:pStyle w:val="LGTdoc1"/>
        <w:numPr>
          <w:ilvl w:val="0"/>
          <w:numId w:val="25"/>
        </w:numPr>
        <w:spacing w:before="156" w:after="0" w:afterAutospacing="0"/>
        <w:ind w:leftChars="310" w:left="1071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The eNB selects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a carrier to perform Cat-4 LBT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by u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niformly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randomly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choosing from the multiple carriers 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before each transmission, or</w:t>
      </w:r>
    </w:p>
    <w:p w14:paraId="1E03A85C" w14:textId="77777777" w:rsidR="009342DE" w:rsidRPr="006F33C4" w:rsidRDefault="009342DE" w:rsidP="009342DE">
      <w:pPr>
        <w:pStyle w:val="LGTdoc1"/>
        <w:numPr>
          <w:ilvl w:val="0"/>
          <w:numId w:val="25"/>
        </w:numPr>
        <w:spacing w:before="156" w:after="240" w:afterAutospacing="0"/>
        <w:ind w:leftChars="310" w:left="1071"/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The eNB selects</w:t>
      </w:r>
      <w:r w:rsidRPr="006F33C4"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 xml:space="preserve"> a carrier no more frequently than once every 1 second</w:t>
      </w:r>
      <w:r>
        <w:rPr>
          <w:rFonts w:ascii="Times New Roman" w:eastAsia="宋体" w:hAnsi="Times New Roman" w:cs="Times New Roman"/>
          <w:b w:val="0"/>
          <w:sz w:val="22"/>
          <w:szCs w:val="22"/>
          <w:lang w:val="en-US" w:eastAsia="zh-CN"/>
        </w:rPr>
        <w:t>.</w:t>
      </w:r>
    </w:p>
    <w:p w14:paraId="0D5E96BC" w14:textId="77777777" w:rsidR="009342DE" w:rsidRDefault="009342DE" w:rsidP="009342DE">
      <w:pPr>
        <w:pStyle w:val="LGTdoc1"/>
        <w:spacing w:before="156" w:after="0" w:afterAutospacing="0"/>
        <w:jc w:val="center"/>
      </w:pPr>
      <w:r w:rsidRPr="00E1790C">
        <w:t xml:space="preserve"> </w:t>
      </w:r>
      <w:r>
        <w:object w:dxaOrig="10314" w:dyaOrig="3713" w14:anchorId="1D9A1FC2">
          <v:shape id="_x0000_i1027" type="#_x0000_t75" style="width:448pt;height:162pt" o:ole="">
            <v:imagedata r:id="rId11" o:title=""/>
          </v:shape>
          <o:OLEObject Type="Embed" ProgID="Visio.Drawing.11" ShapeID="_x0000_i1027" DrawAspect="Content" ObjectID="_1608725171" r:id="rId12"/>
        </w:object>
      </w:r>
    </w:p>
    <w:p w14:paraId="00C95E73" w14:textId="126EDAB7" w:rsidR="009342DE" w:rsidRPr="009F5E2B" w:rsidRDefault="009342DE" w:rsidP="009342DE">
      <w:pPr>
        <w:pStyle w:val="LGTdoc1"/>
        <w:spacing w:before="156" w:after="240" w:afterAutospacing="0"/>
        <w:jc w:val="center"/>
        <w:rPr>
          <w:rFonts w:ascii="Times New Roman" w:eastAsia="宋体" w:hAnsi="Times New Roman" w:cs="Times New Roman"/>
          <w:b w:val="0"/>
          <w:sz w:val="16"/>
          <w:szCs w:val="22"/>
          <w:lang w:val="en-US" w:eastAsia="zh-CN"/>
        </w:rPr>
      </w:pPr>
      <w:r w:rsidRPr="009F5E2B">
        <w:rPr>
          <w:b w:val="0"/>
          <w:sz w:val="20"/>
        </w:rPr>
        <w:t xml:space="preserve">Figure </w:t>
      </w:r>
      <w:r w:rsidR="008E6713">
        <w:rPr>
          <w:b w:val="0"/>
          <w:sz w:val="20"/>
        </w:rPr>
        <w:t>A</w:t>
      </w:r>
      <w:r w:rsidRPr="009F5E2B">
        <w:rPr>
          <w:b w:val="0"/>
          <w:sz w:val="20"/>
        </w:rPr>
        <w:t xml:space="preserve">1. Examples of LTE-LAA multi-carrier access </w:t>
      </w:r>
    </w:p>
    <w:p w14:paraId="16964322" w14:textId="77777777" w:rsidR="009342DE" w:rsidRPr="002424CD" w:rsidRDefault="009342DE" w:rsidP="00F5556F">
      <w:pPr>
        <w:pStyle w:val="LGTdoc1"/>
        <w:spacing w:before="156" w:after="120" w:afterAutospacing="0"/>
        <w:rPr>
          <w:rFonts w:eastAsia="Malgun Gothic"/>
          <w:szCs w:val="22"/>
          <w:lang w:val="en-US"/>
        </w:rPr>
      </w:pPr>
    </w:p>
    <w:sectPr w:rsidR="009342DE" w:rsidRPr="002424CD" w:rsidSect="00F772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1E0A2" w14:textId="77777777" w:rsidR="001B0F5A" w:rsidRDefault="001B0F5A" w:rsidP="00DE233D">
      <w:r>
        <w:separator/>
      </w:r>
    </w:p>
  </w:endnote>
  <w:endnote w:type="continuationSeparator" w:id="0">
    <w:p w14:paraId="5A54AE96" w14:textId="77777777" w:rsidR="001B0F5A" w:rsidRDefault="001B0F5A" w:rsidP="00DE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25354" w14:textId="77777777" w:rsidR="001B0F5A" w:rsidRDefault="001B0F5A" w:rsidP="00DE233D">
      <w:r>
        <w:separator/>
      </w:r>
    </w:p>
  </w:footnote>
  <w:footnote w:type="continuationSeparator" w:id="0">
    <w:p w14:paraId="398EE914" w14:textId="77777777" w:rsidR="001B0F5A" w:rsidRDefault="001B0F5A" w:rsidP="00DE2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7178D"/>
    <w:multiLevelType w:val="hybridMultilevel"/>
    <w:tmpl w:val="6EE4868A"/>
    <w:lvl w:ilvl="0" w:tplc="85D0D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22147"/>
    <w:multiLevelType w:val="hybridMultilevel"/>
    <w:tmpl w:val="A590F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07E98"/>
    <w:multiLevelType w:val="hybridMultilevel"/>
    <w:tmpl w:val="1DFA8192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2F143C4E"/>
    <w:multiLevelType w:val="hybridMultilevel"/>
    <w:tmpl w:val="80ACACA4"/>
    <w:lvl w:ilvl="0" w:tplc="96108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D0E09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F6EE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3C7B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C255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5C19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A37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E9D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214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B07A76"/>
    <w:multiLevelType w:val="hybridMultilevel"/>
    <w:tmpl w:val="BA4805F8"/>
    <w:lvl w:ilvl="0" w:tplc="4976BE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02B630">
      <w:start w:val="2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E98EA">
      <w:start w:val="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F0AC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2A0E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F085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0A5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A650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8010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04FDA"/>
    <w:multiLevelType w:val="hybridMultilevel"/>
    <w:tmpl w:val="D91C8E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35AA2"/>
    <w:multiLevelType w:val="multilevel"/>
    <w:tmpl w:val="A1F6E2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599C7A11"/>
    <w:multiLevelType w:val="hybridMultilevel"/>
    <w:tmpl w:val="4890181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DA00497"/>
    <w:multiLevelType w:val="hybridMultilevel"/>
    <w:tmpl w:val="886864BA"/>
    <w:lvl w:ilvl="0" w:tplc="A29E33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F45408">
      <w:start w:val="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14A7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E68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696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49A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18B1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DE72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0023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61259"/>
    <w:multiLevelType w:val="hybridMultilevel"/>
    <w:tmpl w:val="38E66036"/>
    <w:lvl w:ilvl="0" w:tplc="7C6014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EC3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A440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92FA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250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2EA2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3880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440C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F1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C660E"/>
    <w:multiLevelType w:val="hybridMultilevel"/>
    <w:tmpl w:val="F8624FAC"/>
    <w:lvl w:ilvl="0" w:tplc="EB26BA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22B2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CC0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262C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1A66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86A4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79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B4D9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0A99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85D92"/>
    <w:multiLevelType w:val="hybridMultilevel"/>
    <w:tmpl w:val="923A4D68"/>
    <w:lvl w:ilvl="0" w:tplc="10CE2868">
      <w:start w:val="1"/>
      <w:numFmt w:val="decimal"/>
      <w:lvlText w:val="[%1]"/>
      <w:lvlJc w:val="left"/>
      <w:pPr>
        <w:ind w:left="717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657451C4"/>
    <w:multiLevelType w:val="hybridMultilevel"/>
    <w:tmpl w:val="070E1996"/>
    <w:lvl w:ilvl="0" w:tplc="04090001">
      <w:start w:val="1"/>
      <w:numFmt w:val="bullet"/>
      <w:lvlText w:val=""/>
      <w:lvlJc w:val="left"/>
      <w:pPr>
        <w:ind w:left="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0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3157D4"/>
    <w:multiLevelType w:val="multilevel"/>
    <w:tmpl w:val="9AB6C53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20A44C9"/>
    <w:multiLevelType w:val="hybridMultilevel"/>
    <w:tmpl w:val="BC769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408CE"/>
    <w:multiLevelType w:val="hybridMultilevel"/>
    <w:tmpl w:val="1428A628"/>
    <w:lvl w:ilvl="0" w:tplc="FB4A0D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6A25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48C4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98DA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FCAA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A680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01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B096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865C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86C8A"/>
    <w:multiLevelType w:val="multilevel"/>
    <w:tmpl w:val="9230DEC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2"/>
  </w:num>
  <w:num w:numId="6">
    <w:abstractNumId w:val="14"/>
  </w:num>
  <w:num w:numId="7">
    <w:abstractNumId w:val="21"/>
  </w:num>
  <w:num w:numId="8">
    <w:abstractNumId w:val="22"/>
  </w:num>
  <w:num w:numId="9">
    <w:abstractNumId w:val="2"/>
  </w:num>
  <w:num w:numId="10">
    <w:abstractNumId w:val="26"/>
  </w:num>
  <w:num w:numId="11">
    <w:abstractNumId w:val="20"/>
  </w:num>
  <w:num w:numId="12">
    <w:abstractNumId w:val="18"/>
  </w:num>
  <w:num w:numId="13">
    <w:abstractNumId w:val="25"/>
  </w:num>
  <w:num w:numId="14">
    <w:abstractNumId w:val="16"/>
  </w:num>
  <w:num w:numId="15">
    <w:abstractNumId w:val="6"/>
  </w:num>
  <w:num w:numId="16">
    <w:abstractNumId w:val="0"/>
  </w:num>
  <w:num w:numId="17">
    <w:abstractNumId w:val="24"/>
  </w:num>
  <w:num w:numId="18">
    <w:abstractNumId w:val="15"/>
  </w:num>
  <w:num w:numId="19">
    <w:abstractNumId w:val="9"/>
  </w:num>
  <w:num w:numId="20">
    <w:abstractNumId w:val="23"/>
  </w:num>
  <w:num w:numId="21">
    <w:abstractNumId w:val="17"/>
  </w:num>
  <w:num w:numId="22">
    <w:abstractNumId w:val="5"/>
  </w:num>
  <w:num w:numId="23">
    <w:abstractNumId w:val="11"/>
  </w:num>
  <w:num w:numId="24">
    <w:abstractNumId w:val="10"/>
  </w:num>
  <w:num w:numId="25">
    <w:abstractNumId w:val="13"/>
  </w:num>
  <w:num w:numId="26">
    <w:abstractNumId w:val="19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13"/>
    <w:rsid w:val="00013FFB"/>
    <w:rsid w:val="000142B3"/>
    <w:rsid w:val="00014C57"/>
    <w:rsid w:val="000244D5"/>
    <w:rsid w:val="000426D9"/>
    <w:rsid w:val="00047D1B"/>
    <w:rsid w:val="00051139"/>
    <w:rsid w:val="000554F5"/>
    <w:rsid w:val="00055E81"/>
    <w:rsid w:val="00056FD0"/>
    <w:rsid w:val="00057B58"/>
    <w:rsid w:val="00063D69"/>
    <w:rsid w:val="000669BE"/>
    <w:rsid w:val="00067EB5"/>
    <w:rsid w:val="000713CA"/>
    <w:rsid w:val="000940FD"/>
    <w:rsid w:val="000B2B33"/>
    <w:rsid w:val="000D02B2"/>
    <w:rsid w:val="000D2325"/>
    <w:rsid w:val="000D5B87"/>
    <w:rsid w:val="000E1CF9"/>
    <w:rsid w:val="00107A19"/>
    <w:rsid w:val="001249AC"/>
    <w:rsid w:val="00124D8C"/>
    <w:rsid w:val="00125B7F"/>
    <w:rsid w:val="00132FFD"/>
    <w:rsid w:val="00141C1F"/>
    <w:rsid w:val="00146C05"/>
    <w:rsid w:val="00153F66"/>
    <w:rsid w:val="0016065C"/>
    <w:rsid w:val="0016137A"/>
    <w:rsid w:val="0016652D"/>
    <w:rsid w:val="00173406"/>
    <w:rsid w:val="001824A5"/>
    <w:rsid w:val="0019130F"/>
    <w:rsid w:val="0019187F"/>
    <w:rsid w:val="001A4907"/>
    <w:rsid w:val="001B0F5A"/>
    <w:rsid w:val="001C1BF3"/>
    <w:rsid w:val="001C7B46"/>
    <w:rsid w:val="001D0F00"/>
    <w:rsid w:val="001D33A4"/>
    <w:rsid w:val="001F4AC0"/>
    <w:rsid w:val="00232567"/>
    <w:rsid w:val="002424CD"/>
    <w:rsid w:val="002622DA"/>
    <w:rsid w:val="002C7266"/>
    <w:rsid w:val="002D7C09"/>
    <w:rsid w:val="002E61E6"/>
    <w:rsid w:val="002F78EF"/>
    <w:rsid w:val="002F7ED2"/>
    <w:rsid w:val="00312B96"/>
    <w:rsid w:val="003154C2"/>
    <w:rsid w:val="00327324"/>
    <w:rsid w:val="003419B2"/>
    <w:rsid w:val="00363E14"/>
    <w:rsid w:val="00364BC3"/>
    <w:rsid w:val="00373F7D"/>
    <w:rsid w:val="003854C1"/>
    <w:rsid w:val="0038781D"/>
    <w:rsid w:val="00391DA7"/>
    <w:rsid w:val="00395D7F"/>
    <w:rsid w:val="003971B9"/>
    <w:rsid w:val="003B574B"/>
    <w:rsid w:val="003D1EEF"/>
    <w:rsid w:val="003D6F6B"/>
    <w:rsid w:val="00403F15"/>
    <w:rsid w:val="004106CA"/>
    <w:rsid w:val="00420FCA"/>
    <w:rsid w:val="00433D9E"/>
    <w:rsid w:val="004350F6"/>
    <w:rsid w:val="0045797C"/>
    <w:rsid w:val="004677E9"/>
    <w:rsid w:val="00471CF7"/>
    <w:rsid w:val="00493068"/>
    <w:rsid w:val="00497479"/>
    <w:rsid w:val="00497D43"/>
    <w:rsid w:val="004A7AE0"/>
    <w:rsid w:val="004B21A3"/>
    <w:rsid w:val="004C1005"/>
    <w:rsid w:val="004D48A7"/>
    <w:rsid w:val="004D60FF"/>
    <w:rsid w:val="004E07E8"/>
    <w:rsid w:val="004E57F4"/>
    <w:rsid w:val="004F783F"/>
    <w:rsid w:val="00543127"/>
    <w:rsid w:val="00546529"/>
    <w:rsid w:val="0054713B"/>
    <w:rsid w:val="005471EF"/>
    <w:rsid w:val="005523F1"/>
    <w:rsid w:val="005573D1"/>
    <w:rsid w:val="00570B10"/>
    <w:rsid w:val="00577413"/>
    <w:rsid w:val="00577C2D"/>
    <w:rsid w:val="00580E5A"/>
    <w:rsid w:val="00582E8E"/>
    <w:rsid w:val="0059597E"/>
    <w:rsid w:val="005A167B"/>
    <w:rsid w:val="005C0885"/>
    <w:rsid w:val="005C1CB3"/>
    <w:rsid w:val="005C40F2"/>
    <w:rsid w:val="005E4CD9"/>
    <w:rsid w:val="005F56AA"/>
    <w:rsid w:val="005F7EAE"/>
    <w:rsid w:val="006164FF"/>
    <w:rsid w:val="00616D4B"/>
    <w:rsid w:val="00617CF4"/>
    <w:rsid w:val="00627166"/>
    <w:rsid w:val="00637922"/>
    <w:rsid w:val="006604D6"/>
    <w:rsid w:val="006642EC"/>
    <w:rsid w:val="00665DBF"/>
    <w:rsid w:val="00665DD4"/>
    <w:rsid w:val="0067654F"/>
    <w:rsid w:val="006B424C"/>
    <w:rsid w:val="006C465F"/>
    <w:rsid w:val="00703196"/>
    <w:rsid w:val="007044D9"/>
    <w:rsid w:val="007428DF"/>
    <w:rsid w:val="00772ED8"/>
    <w:rsid w:val="00796899"/>
    <w:rsid w:val="007B4479"/>
    <w:rsid w:val="007B5373"/>
    <w:rsid w:val="007C2E26"/>
    <w:rsid w:val="007D2E75"/>
    <w:rsid w:val="007E3970"/>
    <w:rsid w:val="007E407F"/>
    <w:rsid w:val="007E581B"/>
    <w:rsid w:val="007E5B5A"/>
    <w:rsid w:val="007E623C"/>
    <w:rsid w:val="007F2084"/>
    <w:rsid w:val="007F5DE7"/>
    <w:rsid w:val="00803A73"/>
    <w:rsid w:val="00806B3B"/>
    <w:rsid w:val="00835CED"/>
    <w:rsid w:val="00837D7C"/>
    <w:rsid w:val="00841F61"/>
    <w:rsid w:val="00852AD7"/>
    <w:rsid w:val="00855042"/>
    <w:rsid w:val="00857492"/>
    <w:rsid w:val="00866588"/>
    <w:rsid w:val="00871423"/>
    <w:rsid w:val="00873B8E"/>
    <w:rsid w:val="008973BD"/>
    <w:rsid w:val="008B3FCF"/>
    <w:rsid w:val="008B57F6"/>
    <w:rsid w:val="008D3E52"/>
    <w:rsid w:val="008E6713"/>
    <w:rsid w:val="00903306"/>
    <w:rsid w:val="00907392"/>
    <w:rsid w:val="009170CA"/>
    <w:rsid w:val="00927B8A"/>
    <w:rsid w:val="0093032D"/>
    <w:rsid w:val="009342DE"/>
    <w:rsid w:val="009433FA"/>
    <w:rsid w:val="009553C6"/>
    <w:rsid w:val="00955D51"/>
    <w:rsid w:val="00957C37"/>
    <w:rsid w:val="00963D37"/>
    <w:rsid w:val="0099283D"/>
    <w:rsid w:val="00996A9A"/>
    <w:rsid w:val="009C4FAA"/>
    <w:rsid w:val="009C6C9B"/>
    <w:rsid w:val="009D1ED7"/>
    <w:rsid w:val="009E1052"/>
    <w:rsid w:val="009F732A"/>
    <w:rsid w:val="00A008BF"/>
    <w:rsid w:val="00A115F8"/>
    <w:rsid w:val="00A23629"/>
    <w:rsid w:val="00A42A86"/>
    <w:rsid w:val="00A50433"/>
    <w:rsid w:val="00A56344"/>
    <w:rsid w:val="00A6136C"/>
    <w:rsid w:val="00A666E4"/>
    <w:rsid w:val="00A731BB"/>
    <w:rsid w:val="00A84274"/>
    <w:rsid w:val="00AA1D77"/>
    <w:rsid w:val="00AB3ED9"/>
    <w:rsid w:val="00AC301F"/>
    <w:rsid w:val="00AC38DE"/>
    <w:rsid w:val="00AD5FFE"/>
    <w:rsid w:val="00B13E33"/>
    <w:rsid w:val="00B2312F"/>
    <w:rsid w:val="00B243BB"/>
    <w:rsid w:val="00B77961"/>
    <w:rsid w:val="00B937F9"/>
    <w:rsid w:val="00BB0A50"/>
    <w:rsid w:val="00BB294D"/>
    <w:rsid w:val="00BC1D28"/>
    <w:rsid w:val="00BF30C3"/>
    <w:rsid w:val="00C00D2E"/>
    <w:rsid w:val="00C0434C"/>
    <w:rsid w:val="00C3062B"/>
    <w:rsid w:val="00C344F0"/>
    <w:rsid w:val="00C367DC"/>
    <w:rsid w:val="00C407E9"/>
    <w:rsid w:val="00C45E7B"/>
    <w:rsid w:val="00C54829"/>
    <w:rsid w:val="00C5516D"/>
    <w:rsid w:val="00C601AD"/>
    <w:rsid w:val="00C6293E"/>
    <w:rsid w:val="00C76611"/>
    <w:rsid w:val="00C76FDD"/>
    <w:rsid w:val="00C83A60"/>
    <w:rsid w:val="00CE0AAA"/>
    <w:rsid w:val="00CF4452"/>
    <w:rsid w:val="00D020EA"/>
    <w:rsid w:val="00D12F8A"/>
    <w:rsid w:val="00D32F5D"/>
    <w:rsid w:val="00D3798F"/>
    <w:rsid w:val="00D47E1B"/>
    <w:rsid w:val="00D5653D"/>
    <w:rsid w:val="00D6418C"/>
    <w:rsid w:val="00D642D1"/>
    <w:rsid w:val="00D83A36"/>
    <w:rsid w:val="00D85577"/>
    <w:rsid w:val="00D92720"/>
    <w:rsid w:val="00D96AC8"/>
    <w:rsid w:val="00DA06E4"/>
    <w:rsid w:val="00DA0B0A"/>
    <w:rsid w:val="00DB410E"/>
    <w:rsid w:val="00DE0231"/>
    <w:rsid w:val="00DE233D"/>
    <w:rsid w:val="00DE54E2"/>
    <w:rsid w:val="00DF2790"/>
    <w:rsid w:val="00E02DF9"/>
    <w:rsid w:val="00E068BC"/>
    <w:rsid w:val="00E16D26"/>
    <w:rsid w:val="00E26B1C"/>
    <w:rsid w:val="00E30A31"/>
    <w:rsid w:val="00E44388"/>
    <w:rsid w:val="00E541CE"/>
    <w:rsid w:val="00E55C0F"/>
    <w:rsid w:val="00E5753E"/>
    <w:rsid w:val="00E76443"/>
    <w:rsid w:val="00E773B1"/>
    <w:rsid w:val="00E86C03"/>
    <w:rsid w:val="00E969B8"/>
    <w:rsid w:val="00EA268B"/>
    <w:rsid w:val="00EB5A49"/>
    <w:rsid w:val="00EC0CAA"/>
    <w:rsid w:val="00EC1BBD"/>
    <w:rsid w:val="00EC287D"/>
    <w:rsid w:val="00EC30B1"/>
    <w:rsid w:val="00EE27C1"/>
    <w:rsid w:val="00F0105B"/>
    <w:rsid w:val="00F02324"/>
    <w:rsid w:val="00F04F42"/>
    <w:rsid w:val="00F0752E"/>
    <w:rsid w:val="00F17D98"/>
    <w:rsid w:val="00F32D1E"/>
    <w:rsid w:val="00F33C06"/>
    <w:rsid w:val="00F41890"/>
    <w:rsid w:val="00F5556F"/>
    <w:rsid w:val="00F5645D"/>
    <w:rsid w:val="00F604BC"/>
    <w:rsid w:val="00F65DAB"/>
    <w:rsid w:val="00F772D3"/>
    <w:rsid w:val="00F80C8B"/>
    <w:rsid w:val="00F8542E"/>
    <w:rsid w:val="00F9709E"/>
    <w:rsid w:val="00FC020E"/>
    <w:rsid w:val="00FC0C46"/>
    <w:rsid w:val="00FC1BB5"/>
    <w:rsid w:val="00FC5345"/>
    <w:rsid w:val="00FD5644"/>
    <w:rsid w:val="00FF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460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627166"/>
    <w:pPr>
      <w:keepNext/>
      <w:widowControl/>
      <w:tabs>
        <w:tab w:val="left" w:pos="0"/>
      </w:tabs>
      <w:spacing w:before="240" w:after="60"/>
      <w:jc w:val="left"/>
      <w:outlineLvl w:val="0"/>
    </w:pPr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627166"/>
    <w:pPr>
      <w:keepNext/>
      <w:widowControl/>
      <w:spacing w:line="480" w:lineRule="auto"/>
      <w:jc w:val="left"/>
      <w:outlineLvl w:val="1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627166"/>
    <w:pPr>
      <w:keepNext/>
      <w:widowControl/>
      <w:spacing w:before="240" w:after="60"/>
      <w:jc w:val="left"/>
      <w:outlineLvl w:val="2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627166"/>
    <w:pPr>
      <w:keepNext/>
      <w:widowControl/>
      <w:jc w:val="right"/>
      <w:outlineLvl w:val="3"/>
    </w:pPr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E2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E23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33D"/>
    <w:rPr>
      <w:sz w:val="18"/>
      <w:szCs w:val="18"/>
    </w:rPr>
  </w:style>
  <w:style w:type="paragraph" w:customStyle="1" w:styleId="LGTdoc1">
    <w:name w:val="LGTdoc_제목1"/>
    <w:basedOn w:val="a"/>
    <w:rsid w:val="00DE233D"/>
    <w:pPr>
      <w:widowControl/>
      <w:adjustRightInd w:val="0"/>
      <w:snapToGrid w:val="0"/>
      <w:spacing w:beforeLines="50" w:after="100" w:afterAutospacing="1"/>
    </w:pPr>
    <w:rPr>
      <w:rFonts w:ascii="Arial" w:eastAsia="MS Mincho" w:hAnsi="Arial" w:cs="Arial"/>
      <w:b/>
      <w:kern w:val="0"/>
      <w:sz w:val="2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19130F"/>
    <w:rPr>
      <w:b/>
    </w:rPr>
  </w:style>
  <w:style w:type="paragraph" w:customStyle="1" w:styleId="TAC">
    <w:name w:val="TAC"/>
    <w:basedOn w:val="a"/>
    <w:link w:val="TACChar"/>
    <w:qFormat/>
    <w:rsid w:val="0019130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next w:val="a"/>
    <w:link w:val="THChar"/>
    <w:rsid w:val="0019130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9130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9130F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19130F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FF445F"/>
    <w:rPr>
      <w:sz w:val="21"/>
      <w:szCs w:val="21"/>
    </w:rPr>
  </w:style>
  <w:style w:type="paragraph" w:styleId="a6">
    <w:name w:val="annotation text"/>
    <w:basedOn w:val="a"/>
    <w:link w:val="Char1"/>
    <w:uiPriority w:val="99"/>
    <w:unhideWhenUsed/>
    <w:rsid w:val="00FF445F"/>
    <w:pPr>
      <w:jc w:val="left"/>
    </w:pPr>
  </w:style>
  <w:style w:type="character" w:customStyle="1" w:styleId="Char1">
    <w:name w:val="批注文字 Char"/>
    <w:basedOn w:val="a0"/>
    <w:link w:val="a6"/>
    <w:uiPriority w:val="99"/>
    <w:rsid w:val="00FF445F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F445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F445F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FF445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F445F"/>
    <w:rPr>
      <w:sz w:val="18"/>
      <w:szCs w:val="18"/>
    </w:rPr>
  </w:style>
  <w:style w:type="paragraph" w:styleId="a9">
    <w:name w:val="List Paragraph"/>
    <w:aliases w:val="- Bullets,목록 단락,リスト段落,?? ??,?????,????,Lista1,列出段落1,中等深浅网格 1 - 着色 21"/>
    <w:basedOn w:val="a"/>
    <w:link w:val="Char4"/>
    <w:uiPriority w:val="34"/>
    <w:qFormat/>
    <w:rsid w:val="00014C57"/>
    <w:pPr>
      <w:ind w:firstLineChars="200" w:firstLine="420"/>
    </w:p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627166"/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627166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paragraph" w:customStyle="1" w:styleId="CRCoverPage">
    <w:name w:val="CR Cover Page"/>
    <w:next w:val="a"/>
    <w:rsid w:val="0062716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"/>
    <w:link w:val="a9"/>
    <w:uiPriority w:val="34"/>
    <w:qFormat/>
    <w:rsid w:val="005A167B"/>
  </w:style>
  <w:style w:type="paragraph" w:customStyle="1" w:styleId="TAR">
    <w:name w:val="TAR"/>
    <w:basedOn w:val="a"/>
    <w:rsid w:val="00E76443"/>
    <w:pPr>
      <w:keepNext/>
      <w:keepLines/>
      <w:widowControl/>
      <w:jc w:val="righ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2622DA"/>
    <w:rPr>
      <w:color w:val="808080"/>
    </w:rPr>
  </w:style>
  <w:style w:type="table" w:styleId="ab">
    <w:name w:val="Table Grid"/>
    <w:basedOn w:val="a1"/>
    <w:uiPriority w:val="39"/>
    <w:rsid w:val="00841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8016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161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6594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661">
          <w:marLeft w:val="93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8683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639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247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512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268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26606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55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293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75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539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15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099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900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980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0091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568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502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98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4078">
          <w:marLeft w:val="69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1345</Words>
  <Characters>7668</Characters>
  <Application>Microsoft Office Word</Application>
  <DocSecurity>0</DocSecurity>
  <Lines>63</Lines>
  <Paragraphs>17</Paragraphs>
  <ScaleCrop>false</ScaleCrop>
  <Company/>
  <LinksUpToDate>false</LinksUpToDate>
  <CharactersWithSpaces>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2018-11-02T14:16:00Z</dcterms:created>
  <dcterms:modified xsi:type="dcterms:W3CDTF">2019-01-11T07:15:00Z</dcterms:modified>
</cp:coreProperties>
</file>